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7FC1" w14:textId="54DE9338" w:rsidR="001D593A" w:rsidRPr="00806349" w:rsidRDefault="001D593A" w:rsidP="00EB3C2B">
      <w:pPr>
        <w:pStyle w:val="Chatperno"/>
        <w:rPr>
          <w:lang w:val="en-IE"/>
        </w:rPr>
      </w:pPr>
      <w:r w:rsidRPr="00806349">
        <w:rPr>
          <w:lang w:val="en-IE"/>
        </w:rPr>
        <w:t xml:space="preserve">Chapter </w:t>
      </w:r>
      <w:r w:rsidR="00BA4122" w:rsidRPr="00806349">
        <w:rPr>
          <w:lang w:val="en-IE"/>
        </w:rPr>
        <w:t>3</w:t>
      </w:r>
      <w:r w:rsidRPr="00806349">
        <w:rPr>
          <w:lang w:val="en-IE"/>
        </w:rPr>
        <w:t>.3.10.</w:t>
      </w:r>
    </w:p>
    <w:p w14:paraId="40737FC2" w14:textId="77777777" w:rsidR="001D593A" w:rsidRPr="00806349" w:rsidRDefault="001D593A">
      <w:pPr>
        <w:pStyle w:val="Chaptertitle"/>
        <w:rPr>
          <w:lang w:val="en-IE"/>
        </w:rPr>
      </w:pPr>
      <w:r w:rsidRPr="00806349">
        <w:rPr>
          <w:lang w:val="en-IE"/>
        </w:rPr>
        <w:t>fowlpox</w:t>
      </w:r>
    </w:p>
    <w:p w14:paraId="40737FC3" w14:textId="77777777" w:rsidR="001D593A" w:rsidRPr="00806349" w:rsidRDefault="001D593A">
      <w:pPr>
        <w:pStyle w:val="Summarytitle"/>
        <w:rPr>
          <w:lang w:val="en-IE"/>
        </w:rPr>
      </w:pPr>
      <w:r w:rsidRPr="00806349">
        <w:rPr>
          <w:lang w:val="en-IE"/>
        </w:rPr>
        <w:t>SUMMARY</w:t>
      </w:r>
    </w:p>
    <w:p w14:paraId="40737FC4" w14:textId="0B96893A" w:rsidR="001D593A" w:rsidRPr="00806349" w:rsidRDefault="00657F0B">
      <w:pPr>
        <w:pStyle w:val="sumtexte"/>
        <w:rPr>
          <w:lang w:val="en-IE"/>
        </w:rPr>
      </w:pPr>
      <w:r w:rsidRPr="00806349">
        <w:rPr>
          <w:b/>
          <w:lang w:val="en-IE"/>
        </w:rPr>
        <w:t xml:space="preserve">Description of the </w:t>
      </w:r>
      <w:r w:rsidR="008D11A0" w:rsidRPr="00806349">
        <w:rPr>
          <w:b/>
          <w:lang w:val="en-IE"/>
        </w:rPr>
        <w:t>disease</w:t>
      </w:r>
      <w:r w:rsidRPr="00806349">
        <w:rPr>
          <w:b/>
          <w:lang w:val="en-IE"/>
        </w:rPr>
        <w:t>:</w:t>
      </w:r>
      <w:r w:rsidRPr="00806349">
        <w:rPr>
          <w:lang w:val="en-IE"/>
        </w:rPr>
        <w:t xml:space="preserve"> </w:t>
      </w:r>
      <w:proofErr w:type="spellStart"/>
      <w:r w:rsidR="001D593A" w:rsidRPr="00806349">
        <w:rPr>
          <w:lang w:val="en-IE"/>
        </w:rPr>
        <w:t>Fowlpox</w:t>
      </w:r>
      <w:proofErr w:type="spellEnd"/>
      <w:r w:rsidR="001D593A" w:rsidRPr="00806349">
        <w:rPr>
          <w:lang w:val="en-IE"/>
        </w:rPr>
        <w:t xml:space="preserve"> is a disease of chickens and turkeys caused by a DNA virus of the genus</w:t>
      </w:r>
      <w:r w:rsidR="00722FDE" w:rsidRPr="00806349">
        <w:rPr>
          <w:lang w:val="en-IE"/>
        </w:rPr>
        <w:t xml:space="preserve"> </w:t>
      </w:r>
      <w:proofErr w:type="spellStart"/>
      <w:r w:rsidR="001D593A" w:rsidRPr="00806349">
        <w:rPr>
          <w:i w:val="0"/>
          <w:iCs w:val="0"/>
          <w:lang w:val="en-IE"/>
        </w:rPr>
        <w:t>Avipoxvirus</w:t>
      </w:r>
      <w:proofErr w:type="spellEnd"/>
      <w:r w:rsidR="001D593A" w:rsidRPr="00806349">
        <w:rPr>
          <w:lang w:val="en-IE"/>
        </w:rPr>
        <w:t xml:space="preserve"> of the family </w:t>
      </w:r>
      <w:r w:rsidR="001D593A" w:rsidRPr="00806349">
        <w:rPr>
          <w:i w:val="0"/>
          <w:iCs w:val="0"/>
          <w:lang w:val="en-IE"/>
        </w:rPr>
        <w:t>Poxviridae</w:t>
      </w:r>
      <w:r w:rsidR="001D593A" w:rsidRPr="00806349">
        <w:rPr>
          <w:lang w:val="en-IE"/>
        </w:rPr>
        <w:t>. Its distribution is world-wide. It is slow-spreading and characterised by the formation of proliferative lesions and scabs on the skin, and diphtheritic lesions in the upper parts of the digestive and respiratory tracts. In the case of the cutaneous form, the mortality rate is usually low</w:t>
      </w:r>
      <w:r w:rsidR="00504FE3" w:rsidRPr="00806349">
        <w:rPr>
          <w:u w:val="double"/>
          <w:lang w:val="en-IE"/>
        </w:rPr>
        <w:t>, unless lesions develop around the eyes,</w:t>
      </w:r>
      <w:r w:rsidR="001D593A" w:rsidRPr="00806349">
        <w:rPr>
          <w:lang w:val="en-IE"/>
        </w:rPr>
        <w:t xml:space="preserve"> and affected birds are more likely to recover than those with the diphtheritic form. In the diphtheritic form, proliferative lesions involving the nasal passages,</w:t>
      </w:r>
      <w:r w:rsidR="0033377B">
        <w:rPr>
          <w:lang w:val="en-IE"/>
        </w:rPr>
        <w:t xml:space="preserve"> </w:t>
      </w:r>
      <w:r w:rsidR="0013480E" w:rsidRPr="0033377B">
        <w:rPr>
          <w:highlight w:val="yellow"/>
          <w:u w:val="double"/>
          <w:lang w:val="en-IE"/>
        </w:rPr>
        <w:t>tongue,</w:t>
      </w:r>
      <w:r w:rsidR="001D593A" w:rsidRPr="00806349">
        <w:rPr>
          <w:lang w:val="en-IE"/>
        </w:rPr>
        <w:t xml:space="preserve"> larynx or trachea can result in respiratory distress and death from suffocation.</w:t>
      </w:r>
      <w:r w:rsidR="00504FE3" w:rsidRPr="00806349">
        <w:rPr>
          <w:u w:val="double"/>
          <w:lang w:val="en-IE"/>
        </w:rPr>
        <w:t xml:space="preserve"> Transmission of the virus is generally associated with contamination of open wounds and from biting insects such as mosquitos and mites.</w:t>
      </w:r>
    </w:p>
    <w:p w14:paraId="40737FC5" w14:textId="77777777" w:rsidR="001D593A" w:rsidRPr="00806349" w:rsidRDefault="001D593A">
      <w:pPr>
        <w:pStyle w:val="sumtexte"/>
        <w:rPr>
          <w:lang w:val="en-IE"/>
        </w:rPr>
      </w:pPr>
      <w:proofErr w:type="spellStart"/>
      <w:r w:rsidRPr="00806349">
        <w:rPr>
          <w:lang w:val="en-IE"/>
        </w:rPr>
        <w:t>Fowlpox</w:t>
      </w:r>
      <w:proofErr w:type="spellEnd"/>
      <w:r w:rsidRPr="00806349">
        <w:rPr>
          <w:lang w:val="en-IE"/>
        </w:rPr>
        <w:t xml:space="preserve"> causes a transient drop in egg production and a reduced growth rate in young birds.</w:t>
      </w:r>
    </w:p>
    <w:p w14:paraId="40737FC6" w14:textId="24E37677" w:rsidR="001D593A" w:rsidRPr="00806349" w:rsidRDefault="003931D1">
      <w:pPr>
        <w:pStyle w:val="sumtexte"/>
        <w:rPr>
          <w:lang w:val="en-IE"/>
        </w:rPr>
      </w:pPr>
      <w:r w:rsidRPr="00806349">
        <w:rPr>
          <w:b/>
          <w:bCs/>
          <w:lang w:val="en-IE"/>
        </w:rPr>
        <w:t>Detection</w:t>
      </w:r>
      <w:r w:rsidR="001D593A" w:rsidRPr="00806349">
        <w:rPr>
          <w:b/>
          <w:bCs/>
          <w:lang w:val="en-IE"/>
        </w:rPr>
        <w:t xml:space="preserve"> of the agent:</w:t>
      </w:r>
      <w:r w:rsidR="001D593A" w:rsidRPr="00806349">
        <w:rPr>
          <w:lang w:val="en-IE"/>
        </w:rPr>
        <w:t xml:space="preserve"> </w:t>
      </w:r>
      <w:proofErr w:type="spellStart"/>
      <w:r w:rsidR="001D593A" w:rsidRPr="00806349">
        <w:rPr>
          <w:lang w:val="en-IE"/>
        </w:rPr>
        <w:t>Fowlpox</w:t>
      </w:r>
      <w:proofErr w:type="spellEnd"/>
      <w:r w:rsidR="001D593A" w:rsidRPr="00806349">
        <w:rPr>
          <w:lang w:val="en-IE"/>
        </w:rPr>
        <w:t xml:space="preserve"> should be suspected where skin eruptions occur on exposed areas. Histological examination of cutaneous or diphtheritic lesions reveals epithelial hyperplasia with intracytoplasmic inclusions in affected cells. Elementary bodies may be detected in smears from lesions by the use of the Gimenez method. Electron microscopy of lesions will detect virus particles with the characteristic poxvirus morphology by negative staining or in ultrathin sections of the lesion.</w:t>
      </w:r>
    </w:p>
    <w:p w14:paraId="40737FC7" w14:textId="71A8EBD9" w:rsidR="001D593A" w:rsidRPr="00806349" w:rsidRDefault="001D593A">
      <w:pPr>
        <w:pStyle w:val="sumtexte"/>
        <w:rPr>
          <w:lang w:val="en-IE"/>
        </w:rPr>
      </w:pPr>
      <w:r w:rsidRPr="00806349">
        <w:rPr>
          <w:lang w:val="en-IE"/>
        </w:rPr>
        <w:t xml:space="preserve">The diphtheritic form of </w:t>
      </w:r>
      <w:proofErr w:type="spellStart"/>
      <w:r w:rsidRPr="00806349">
        <w:rPr>
          <w:lang w:val="en-IE"/>
        </w:rPr>
        <w:t>fowlpox</w:t>
      </w:r>
      <w:proofErr w:type="spellEnd"/>
      <w:r w:rsidRPr="00806349">
        <w:rPr>
          <w:lang w:val="en-IE"/>
        </w:rPr>
        <w:t xml:space="preserve"> involving the trachea must be differentiated from infectious laryngotracheitis, which is caused by </w:t>
      </w:r>
      <w:r w:rsidRPr="0033377B">
        <w:rPr>
          <w:strike/>
          <w:highlight w:val="yellow"/>
          <w:lang w:val="en-IE"/>
        </w:rPr>
        <w:t>a</w:t>
      </w:r>
      <w:r w:rsidR="0033377B">
        <w:rPr>
          <w:strike/>
          <w:highlight w:val="yellow"/>
          <w:lang w:val="en-IE"/>
        </w:rPr>
        <w:t xml:space="preserve"> </w:t>
      </w:r>
      <w:proofErr w:type="spellStart"/>
      <w:r w:rsidR="009349CE" w:rsidRPr="0033377B">
        <w:rPr>
          <w:highlight w:val="yellow"/>
          <w:u w:val="double"/>
          <w:lang w:val="en-IE"/>
        </w:rPr>
        <w:t>gallid</w:t>
      </w:r>
      <w:proofErr w:type="spellEnd"/>
      <w:r w:rsidRPr="00806349">
        <w:rPr>
          <w:lang w:val="en-IE"/>
        </w:rPr>
        <w:t xml:space="preserve"> herpesvirus</w:t>
      </w:r>
      <w:r w:rsidR="009349CE" w:rsidRPr="0033377B">
        <w:rPr>
          <w:highlight w:val="yellow"/>
          <w:u w:val="double"/>
          <w:lang w:val="en-IE"/>
        </w:rPr>
        <w:t>-1</w:t>
      </w:r>
      <w:r w:rsidRPr="00806349">
        <w:rPr>
          <w:lang w:val="en-IE"/>
        </w:rPr>
        <w:t xml:space="preserve"> and is characterised by the presence of intranuclear inclusion bodies.</w:t>
      </w:r>
    </w:p>
    <w:p w14:paraId="40737FC8" w14:textId="4AE0CFFD" w:rsidR="001D593A" w:rsidRPr="00806349" w:rsidRDefault="001D593A">
      <w:pPr>
        <w:pStyle w:val="sumtexte"/>
        <w:rPr>
          <w:lang w:val="en-IE"/>
        </w:rPr>
      </w:pPr>
      <w:r w:rsidRPr="00806349">
        <w:rPr>
          <w:lang w:val="en-IE"/>
        </w:rPr>
        <w:t xml:space="preserve">Virus isolation is done by inoculation on to chorioallantoic membranes of 9- to 12-day-old developing chicken embryos or avian cell cultures. Eggs from specific pathogen free flocks should be used for virus isolation. </w:t>
      </w:r>
    </w:p>
    <w:p w14:paraId="40737FC9" w14:textId="6FDAFDC3" w:rsidR="001D593A" w:rsidRPr="00806349" w:rsidRDefault="001D593A">
      <w:pPr>
        <w:pStyle w:val="sumtexte"/>
        <w:rPr>
          <w:lang w:val="en-IE"/>
        </w:rPr>
      </w:pPr>
      <w:r w:rsidRPr="00806349">
        <w:rPr>
          <w:b/>
          <w:bCs/>
          <w:lang w:val="en-IE"/>
        </w:rPr>
        <w:t>Serological tests:</w:t>
      </w:r>
      <w:r w:rsidRPr="00806349">
        <w:rPr>
          <w:lang w:val="en-IE"/>
        </w:rPr>
        <w:t xml:space="preserve"> Immune responses to </w:t>
      </w:r>
      <w:proofErr w:type="spellStart"/>
      <w:r w:rsidRPr="00806349">
        <w:rPr>
          <w:lang w:val="en-IE"/>
        </w:rPr>
        <w:t>fowlpox</w:t>
      </w:r>
      <w:proofErr w:type="spellEnd"/>
      <w:r w:rsidRPr="00806349">
        <w:rPr>
          <w:lang w:val="en-IE"/>
        </w:rPr>
        <w:t xml:space="preserve"> virus </w:t>
      </w:r>
      <w:r w:rsidR="00523EC0" w:rsidRPr="00806349">
        <w:rPr>
          <w:i w:val="0"/>
          <w:iCs w:val="0"/>
          <w:lang w:val="en-IE"/>
        </w:rPr>
        <w:t>(</w:t>
      </w:r>
      <w:r w:rsidR="00523EC0" w:rsidRPr="00806349">
        <w:rPr>
          <w:lang w:val="en-IE"/>
        </w:rPr>
        <w:t>FPV</w:t>
      </w:r>
      <w:r w:rsidR="00523EC0" w:rsidRPr="00806349">
        <w:rPr>
          <w:i w:val="0"/>
          <w:iCs w:val="0"/>
          <w:lang w:val="en-IE"/>
        </w:rPr>
        <w:t>)</w:t>
      </w:r>
      <w:r w:rsidR="00523EC0" w:rsidRPr="00806349">
        <w:rPr>
          <w:lang w:val="en-IE"/>
        </w:rPr>
        <w:t xml:space="preserve"> </w:t>
      </w:r>
      <w:r w:rsidRPr="00806349">
        <w:rPr>
          <w:lang w:val="en-IE"/>
        </w:rPr>
        <w:t>may be demonstrated by the use of virus neutralisation, agar gel immunodiffusion, immunofluorescence, or passive haemagglutination tests, enzyme-linked immunosorbent assay and by immunoblotting.</w:t>
      </w:r>
    </w:p>
    <w:p w14:paraId="40737FCA" w14:textId="54B40080" w:rsidR="001D593A" w:rsidRPr="00806349" w:rsidRDefault="001D593A">
      <w:pPr>
        <w:pStyle w:val="sumtexte"/>
        <w:spacing w:after="480"/>
        <w:rPr>
          <w:lang w:val="en-IE"/>
        </w:rPr>
      </w:pPr>
      <w:r w:rsidRPr="00806349">
        <w:rPr>
          <w:b/>
          <w:bCs/>
          <w:lang w:val="en-IE"/>
        </w:rPr>
        <w:t>Requirements for vaccines:</w:t>
      </w:r>
      <w:r w:rsidRPr="00806349">
        <w:rPr>
          <w:lang w:val="en-IE"/>
        </w:rPr>
        <w:t xml:space="preserve"> Modified live </w:t>
      </w:r>
      <w:r w:rsidR="00523EC0" w:rsidRPr="00806349">
        <w:rPr>
          <w:lang w:val="en-IE"/>
        </w:rPr>
        <w:t>FPV</w:t>
      </w:r>
      <w:r w:rsidRPr="00806349">
        <w:rPr>
          <w:lang w:val="en-IE"/>
        </w:rPr>
        <w:t xml:space="preserve"> or pigeon pox virus vaccines of chicken embryo or avian cell culture origin are available commercially. </w:t>
      </w:r>
      <w:r w:rsidR="003350EE" w:rsidRPr="00806349">
        <w:rPr>
          <w:u w:val="double"/>
          <w:lang w:val="en-IE"/>
        </w:rPr>
        <w:t xml:space="preserve">Recombinant vaccines using </w:t>
      </w:r>
      <w:r w:rsidR="00523EC0" w:rsidRPr="00806349">
        <w:rPr>
          <w:u w:val="double"/>
          <w:lang w:val="en-IE"/>
        </w:rPr>
        <w:t>FPV</w:t>
      </w:r>
      <w:r w:rsidR="003350EE" w:rsidRPr="00806349">
        <w:rPr>
          <w:u w:val="double"/>
          <w:lang w:val="en-IE"/>
        </w:rPr>
        <w:t xml:space="preserve"> as a vector are also available for use.</w:t>
      </w:r>
      <w:r w:rsidR="003350EE" w:rsidRPr="00806349">
        <w:rPr>
          <w:lang w:val="en-IE"/>
        </w:rPr>
        <w:t xml:space="preserve"> </w:t>
      </w:r>
      <w:r w:rsidRPr="00806349">
        <w:rPr>
          <w:lang w:val="en-IE"/>
        </w:rPr>
        <w:t>The use of vaccines is indicated in areas where the disease is endemic, or on premises where infection has been diagnosed.</w:t>
      </w:r>
    </w:p>
    <w:p w14:paraId="40737FCB" w14:textId="77777777" w:rsidR="001D593A" w:rsidRPr="00806349" w:rsidRDefault="001D593A">
      <w:pPr>
        <w:pStyle w:val="A"/>
        <w:rPr>
          <w:lang w:val="en-IE"/>
        </w:rPr>
      </w:pPr>
      <w:r w:rsidRPr="00806349">
        <w:rPr>
          <w:lang w:val="en-IE"/>
        </w:rPr>
        <w:t>A.  introduction</w:t>
      </w:r>
    </w:p>
    <w:p w14:paraId="40737FCC" w14:textId="0F1028AE" w:rsidR="001D593A" w:rsidRPr="00806349" w:rsidRDefault="001D593A" w:rsidP="0015579F">
      <w:pPr>
        <w:pStyle w:val="paraA"/>
        <w:rPr>
          <w:lang w:val="en-IE"/>
        </w:rPr>
      </w:pPr>
      <w:r w:rsidRPr="00806349">
        <w:rPr>
          <w:lang w:val="en-IE"/>
        </w:rPr>
        <w:t xml:space="preserve">The morphology of the </w:t>
      </w:r>
      <w:proofErr w:type="spellStart"/>
      <w:r w:rsidRPr="00806349">
        <w:rPr>
          <w:lang w:val="en-IE"/>
        </w:rPr>
        <w:t>fowlpox</w:t>
      </w:r>
      <w:proofErr w:type="spellEnd"/>
      <w:r w:rsidRPr="00806349">
        <w:rPr>
          <w:lang w:val="en-IE"/>
        </w:rPr>
        <w:t xml:space="preserve"> virus </w:t>
      </w:r>
      <w:r w:rsidR="00924880" w:rsidRPr="00806349">
        <w:rPr>
          <w:lang w:val="en-IE"/>
        </w:rPr>
        <w:t xml:space="preserve">(FPV) </w:t>
      </w:r>
      <w:r w:rsidRPr="00806349">
        <w:rPr>
          <w:lang w:val="en-IE"/>
        </w:rPr>
        <w:t xml:space="preserve">is like that of other viruses of the </w:t>
      </w:r>
      <w:r w:rsidRPr="00806349">
        <w:rPr>
          <w:i/>
          <w:iCs/>
          <w:lang w:val="en-IE"/>
        </w:rPr>
        <w:t>Poxviridae</w:t>
      </w:r>
      <w:r w:rsidRPr="00806349">
        <w:rPr>
          <w:lang w:val="en-IE"/>
        </w:rPr>
        <w:t xml:space="preserve"> family. The mature virus (elementary body) is brick shaped and measures about 330 × 280 × 200 nm. The outer coat is composed of random arrangements of surface tubules. The virion consists of an electron-dense centrally located biconcave core or nucleoid with two lateral bodies in each concavity and surrounded by an envelope. The 288 </w:t>
      </w:r>
      <w:proofErr w:type="spellStart"/>
      <w:r w:rsidRPr="00806349">
        <w:rPr>
          <w:lang w:val="en-IE"/>
        </w:rPr>
        <w:t>kbp</w:t>
      </w:r>
      <w:proofErr w:type="spellEnd"/>
      <w:r w:rsidRPr="00806349">
        <w:rPr>
          <w:lang w:val="en-IE"/>
        </w:rPr>
        <w:t xml:space="preserve"> </w:t>
      </w:r>
      <w:r w:rsidR="00924880" w:rsidRPr="00806349">
        <w:rPr>
          <w:lang w:val="en-IE"/>
        </w:rPr>
        <w:t xml:space="preserve">FPV </w:t>
      </w:r>
      <w:r w:rsidRPr="00806349">
        <w:rPr>
          <w:lang w:val="en-IE"/>
        </w:rPr>
        <w:t xml:space="preserve">genome encodes for over 250 genes. </w:t>
      </w:r>
    </w:p>
    <w:p w14:paraId="40737FCD" w14:textId="74FEEEB8" w:rsidR="001D593A" w:rsidRPr="00806349" w:rsidRDefault="001D593A">
      <w:pPr>
        <w:pStyle w:val="paraA"/>
        <w:rPr>
          <w:lang w:val="en-IE"/>
        </w:rPr>
      </w:pPr>
      <w:proofErr w:type="spellStart"/>
      <w:r w:rsidRPr="00806349">
        <w:rPr>
          <w:lang w:val="en-IE"/>
        </w:rPr>
        <w:t>Fowlpox</w:t>
      </w:r>
      <w:proofErr w:type="spellEnd"/>
      <w:r w:rsidRPr="00806349">
        <w:rPr>
          <w:lang w:val="en-IE"/>
        </w:rPr>
        <w:t xml:space="preserve"> has a world-wide distribution and is caused by a DNA virus of the genus </w:t>
      </w:r>
      <w:proofErr w:type="spellStart"/>
      <w:r w:rsidRPr="00806349">
        <w:rPr>
          <w:i/>
          <w:iCs/>
          <w:lang w:val="en-IE"/>
        </w:rPr>
        <w:t>Avipoxvirus</w:t>
      </w:r>
      <w:proofErr w:type="spellEnd"/>
      <w:r w:rsidRPr="00806349">
        <w:rPr>
          <w:lang w:val="en-IE"/>
        </w:rPr>
        <w:t xml:space="preserve"> of the family </w:t>
      </w:r>
      <w:r w:rsidRPr="00806349">
        <w:rPr>
          <w:i/>
          <w:iCs/>
          <w:lang w:val="en-IE"/>
        </w:rPr>
        <w:t>Poxviridae</w:t>
      </w:r>
      <w:r w:rsidRPr="00806349">
        <w:rPr>
          <w:lang w:val="en-IE"/>
        </w:rPr>
        <w:t xml:space="preserve"> (</w:t>
      </w:r>
      <w:r w:rsidRPr="00806349">
        <w:rPr>
          <w:color w:val="000000"/>
          <w:lang w:val="en-IE"/>
        </w:rPr>
        <w:t>Tripathy, 1993</w:t>
      </w:r>
      <w:r w:rsidRPr="00806349">
        <w:rPr>
          <w:lang w:val="en-IE"/>
        </w:rPr>
        <w:t xml:space="preserve">; </w:t>
      </w:r>
      <w:r w:rsidRPr="00806349">
        <w:rPr>
          <w:color w:val="000000"/>
          <w:lang w:val="en-IE"/>
        </w:rPr>
        <w:t xml:space="preserve">Tripathy &amp; Reed, </w:t>
      </w:r>
      <w:r w:rsidRPr="00806349">
        <w:rPr>
          <w:strike/>
          <w:color w:val="000000"/>
          <w:lang w:val="en-IE"/>
        </w:rPr>
        <w:t>2013</w:t>
      </w:r>
      <w:r w:rsidR="000D47FC" w:rsidRPr="00806349">
        <w:rPr>
          <w:strike/>
          <w:color w:val="000000"/>
          <w:lang w:val="en-IE"/>
        </w:rPr>
        <w:t xml:space="preserve"> </w:t>
      </w:r>
      <w:r w:rsidR="004549FF" w:rsidRPr="00806349">
        <w:rPr>
          <w:color w:val="000000"/>
          <w:u w:val="double"/>
          <w:lang w:val="en-IE"/>
        </w:rPr>
        <w:t>2020</w:t>
      </w:r>
      <w:r w:rsidRPr="00806349">
        <w:rPr>
          <w:lang w:val="en-IE"/>
        </w:rPr>
        <w:t>). Its incidence is variable in different areas because of differences in climate, management and hygiene or the practice of regular vaccination. It can cause drops in egg production, or retarded growth in younger birds.</w:t>
      </w:r>
      <w:r w:rsidR="00D424E4" w:rsidRPr="00806349">
        <w:rPr>
          <w:lang w:val="en-IE"/>
        </w:rPr>
        <w:t xml:space="preserve"> </w:t>
      </w:r>
      <w:r w:rsidR="001506B2" w:rsidRPr="00806349">
        <w:rPr>
          <w:u w:val="double"/>
          <w:lang w:val="en-IE"/>
        </w:rPr>
        <w:t>Infection in</w:t>
      </w:r>
      <w:r w:rsidR="000178D5" w:rsidRPr="00806349">
        <w:rPr>
          <w:u w:val="double"/>
          <w:lang w:val="en-IE"/>
        </w:rPr>
        <w:t xml:space="preserve"> mammals is considered non-significant</w:t>
      </w:r>
      <w:r w:rsidR="006C25C0">
        <w:rPr>
          <w:u w:val="double"/>
          <w:lang w:val="en-IE"/>
        </w:rPr>
        <w:t>.</w:t>
      </w:r>
    </w:p>
    <w:p w14:paraId="44BAB812" w14:textId="4EA50784" w:rsidR="00504FE3" w:rsidRPr="00806349" w:rsidRDefault="001D593A" w:rsidP="00D424E4">
      <w:pPr>
        <w:pStyle w:val="paraA"/>
        <w:rPr>
          <w:color w:val="000000"/>
          <w:u w:val="double"/>
          <w:lang w:val="en-IE"/>
        </w:rPr>
      </w:pPr>
      <w:proofErr w:type="spellStart"/>
      <w:r w:rsidRPr="00806349">
        <w:rPr>
          <w:lang w:val="en-IE"/>
        </w:rPr>
        <w:t>Fowlpox</w:t>
      </w:r>
      <w:proofErr w:type="spellEnd"/>
      <w:r w:rsidRPr="00806349">
        <w:rPr>
          <w:lang w:val="en-IE"/>
        </w:rPr>
        <w:t xml:space="preserve"> is a slow-spreading virus disease of chickens and turkeys, characterised in the cutaneous form (dry pox) by the development of proliferative lesions, ranging from small nodules to spherical wart-like masses on the skin of the comb, wattle and other </w:t>
      </w:r>
      <w:proofErr w:type="spellStart"/>
      <w:r w:rsidRPr="00806349">
        <w:rPr>
          <w:lang w:val="en-IE"/>
        </w:rPr>
        <w:t>unfeathered</w:t>
      </w:r>
      <w:proofErr w:type="spellEnd"/>
      <w:r w:rsidRPr="00806349">
        <w:rPr>
          <w:lang w:val="en-IE"/>
        </w:rPr>
        <w:t xml:space="preserve"> areas. In the diphtheritic form (wet pox), slightly elevated white opaque nodules develop on the mucous membranes. They rapidly increase in size to become a yellowish diphtheritic membrane. Lesions occur on the mucous membranes of the mouth, </w:t>
      </w:r>
      <w:r w:rsidR="00592EC3" w:rsidRPr="0033377B">
        <w:rPr>
          <w:highlight w:val="yellow"/>
          <w:u w:val="double"/>
          <w:lang w:val="en-IE"/>
        </w:rPr>
        <w:t>tongue</w:t>
      </w:r>
      <w:r w:rsidR="004B6357" w:rsidRPr="0033377B">
        <w:rPr>
          <w:highlight w:val="yellow"/>
          <w:u w:val="double"/>
          <w:lang w:val="en-IE"/>
        </w:rPr>
        <w:t>,</w:t>
      </w:r>
      <w:r w:rsidR="0033377B">
        <w:rPr>
          <w:lang w:val="en-IE"/>
        </w:rPr>
        <w:t xml:space="preserve"> </w:t>
      </w:r>
      <w:r w:rsidRPr="00806349">
        <w:rPr>
          <w:lang w:val="en-IE"/>
        </w:rPr>
        <w:t xml:space="preserve">oesophagus, larynx or trachea. The mortality rate is higher in the diphtheritic form than </w:t>
      </w:r>
      <w:r w:rsidRPr="00806349">
        <w:rPr>
          <w:lang w:val="en-IE"/>
        </w:rPr>
        <w:lastRenderedPageBreak/>
        <w:t xml:space="preserve">in the cutaneous form, sometimes nearing 50% </w:t>
      </w:r>
      <w:r w:rsidRPr="00806349">
        <w:rPr>
          <w:color w:val="000000"/>
          <w:lang w:val="en-IE"/>
        </w:rPr>
        <w:t xml:space="preserve">particularly in young birds. </w:t>
      </w:r>
      <w:r w:rsidR="001506B2" w:rsidRPr="00806349">
        <w:rPr>
          <w:color w:val="000000"/>
          <w:u w:val="double"/>
          <w:lang w:val="en-IE"/>
        </w:rPr>
        <w:t xml:space="preserve">Mortality from the cutaneous form can also be elevated in instances where lesions develop around the eyes. </w:t>
      </w:r>
      <w:r w:rsidR="00504FE3" w:rsidRPr="00806349">
        <w:rPr>
          <w:color w:val="000000"/>
          <w:u w:val="double"/>
          <w:lang w:val="en-IE"/>
        </w:rPr>
        <w:t xml:space="preserve">Infection is generally associated with contamination of open wounds and via biting insects such as mosquitos and </w:t>
      </w:r>
      <w:r w:rsidR="009931F1" w:rsidRPr="00806349">
        <w:rPr>
          <w:color w:val="000000"/>
          <w:u w:val="double"/>
          <w:lang w:val="en-IE"/>
        </w:rPr>
        <w:t xml:space="preserve">poultry red </w:t>
      </w:r>
      <w:r w:rsidR="00504FE3" w:rsidRPr="00806349">
        <w:rPr>
          <w:color w:val="000000"/>
          <w:u w:val="double"/>
          <w:lang w:val="en-IE"/>
        </w:rPr>
        <w:t>mites</w:t>
      </w:r>
      <w:r w:rsidR="009931F1" w:rsidRPr="00806349">
        <w:rPr>
          <w:color w:val="000000"/>
          <w:u w:val="double"/>
          <w:lang w:val="en-IE"/>
        </w:rPr>
        <w:t xml:space="preserve"> (</w:t>
      </w:r>
      <w:proofErr w:type="spellStart"/>
      <w:r w:rsidR="009931F1" w:rsidRPr="00806349">
        <w:rPr>
          <w:i/>
          <w:iCs/>
          <w:color w:val="000000"/>
          <w:u w:val="double"/>
          <w:lang w:val="en-IE"/>
        </w:rPr>
        <w:t>Dermanyssus</w:t>
      </w:r>
      <w:proofErr w:type="spellEnd"/>
      <w:r w:rsidR="009931F1" w:rsidRPr="00806349">
        <w:rPr>
          <w:i/>
          <w:iCs/>
          <w:color w:val="000000"/>
          <w:u w:val="double"/>
          <w:lang w:val="en-IE"/>
        </w:rPr>
        <w:t xml:space="preserve"> </w:t>
      </w:r>
      <w:proofErr w:type="spellStart"/>
      <w:r w:rsidR="009931F1" w:rsidRPr="00806349">
        <w:rPr>
          <w:i/>
          <w:iCs/>
          <w:color w:val="000000"/>
          <w:u w:val="double"/>
          <w:lang w:val="en-IE"/>
        </w:rPr>
        <w:t>gallinae</w:t>
      </w:r>
      <w:proofErr w:type="spellEnd"/>
      <w:r w:rsidR="009931F1" w:rsidRPr="00806349">
        <w:rPr>
          <w:color w:val="000000"/>
          <w:u w:val="double"/>
          <w:lang w:val="en-IE"/>
        </w:rPr>
        <w:t>) (Tripathy &amp; Reed, 20</w:t>
      </w:r>
      <w:r w:rsidR="003255A4" w:rsidRPr="00806349">
        <w:rPr>
          <w:color w:val="000000"/>
          <w:u w:val="double"/>
          <w:lang w:val="en-IE"/>
        </w:rPr>
        <w:t>20</w:t>
      </w:r>
      <w:r w:rsidR="009931F1" w:rsidRPr="00806349">
        <w:rPr>
          <w:color w:val="000000"/>
          <w:u w:val="double"/>
          <w:lang w:val="en-IE"/>
        </w:rPr>
        <w:t>).</w:t>
      </w:r>
    </w:p>
    <w:p w14:paraId="40737FCE" w14:textId="332A9B35" w:rsidR="001D593A" w:rsidRPr="00806349" w:rsidRDefault="001D593A">
      <w:pPr>
        <w:pStyle w:val="paraA"/>
        <w:spacing w:after="480"/>
        <w:rPr>
          <w:rFonts w:cs="Times"/>
          <w:lang w:val="en-IE"/>
        </w:rPr>
      </w:pPr>
      <w:r w:rsidRPr="00806349">
        <w:rPr>
          <w:color w:val="000000"/>
          <w:lang w:val="en-IE"/>
        </w:rPr>
        <w:t xml:space="preserve">Integration of </w:t>
      </w:r>
      <w:proofErr w:type="spellStart"/>
      <w:r w:rsidRPr="00806349">
        <w:rPr>
          <w:color w:val="000000"/>
          <w:lang w:val="en-IE"/>
        </w:rPr>
        <w:t>reticuloendotheliosis</w:t>
      </w:r>
      <w:proofErr w:type="spellEnd"/>
      <w:r w:rsidRPr="00806349">
        <w:rPr>
          <w:color w:val="000000"/>
          <w:lang w:val="en-IE"/>
        </w:rPr>
        <w:t xml:space="preserve"> virus (REV) sequences has been observed in the genome of </w:t>
      </w:r>
      <w:r w:rsidR="00924880" w:rsidRPr="00806349">
        <w:rPr>
          <w:lang w:val="en-IE"/>
        </w:rPr>
        <w:t>FPV</w:t>
      </w:r>
      <w:r w:rsidR="00924880" w:rsidRPr="00806349">
        <w:rPr>
          <w:color w:val="000000"/>
          <w:lang w:val="en-IE"/>
        </w:rPr>
        <w:t xml:space="preserve"> </w:t>
      </w:r>
      <w:r w:rsidRPr="00806349">
        <w:rPr>
          <w:color w:val="000000"/>
          <w:lang w:val="en-IE"/>
        </w:rPr>
        <w:t xml:space="preserve">(Singh </w:t>
      </w:r>
      <w:r w:rsidRPr="00806349">
        <w:rPr>
          <w:i/>
          <w:iCs/>
          <w:color w:val="000000"/>
          <w:lang w:val="en-IE"/>
        </w:rPr>
        <w:t>et al</w:t>
      </w:r>
      <w:r w:rsidRPr="00806349">
        <w:rPr>
          <w:color w:val="000000"/>
          <w:lang w:val="en-IE"/>
        </w:rPr>
        <w:t>., 2000; 2003</w:t>
      </w:r>
      <w:r w:rsidRPr="00806349">
        <w:rPr>
          <w:strike/>
          <w:color w:val="000000"/>
          <w:lang w:val="en-IE"/>
        </w:rPr>
        <w:t>b</w:t>
      </w:r>
      <w:r w:rsidRPr="00806349">
        <w:rPr>
          <w:color w:val="000000"/>
          <w:lang w:val="en-IE"/>
        </w:rPr>
        <w:t xml:space="preserve">). It is interesting that this insertion event occurred over 50 years ago (Kim &amp; Tripathy, 2001). While most field strains of </w:t>
      </w:r>
      <w:r w:rsidR="00924880" w:rsidRPr="00806349">
        <w:rPr>
          <w:lang w:val="en-IE"/>
        </w:rPr>
        <w:t>FPV</w:t>
      </w:r>
      <w:r w:rsidR="00924880" w:rsidRPr="00806349">
        <w:rPr>
          <w:color w:val="000000"/>
          <w:lang w:val="en-IE"/>
        </w:rPr>
        <w:t xml:space="preserve"> </w:t>
      </w:r>
      <w:r w:rsidRPr="00806349">
        <w:rPr>
          <w:color w:val="000000"/>
          <w:lang w:val="en-IE"/>
        </w:rPr>
        <w:t xml:space="preserve">contain REV provirus, vaccine strains have only remnants of long terminal repeats (Singh </w:t>
      </w:r>
      <w:r w:rsidRPr="00806349">
        <w:rPr>
          <w:i/>
          <w:iCs/>
          <w:color w:val="000000"/>
          <w:lang w:val="en-IE"/>
        </w:rPr>
        <w:t>et al</w:t>
      </w:r>
      <w:r w:rsidRPr="00806349">
        <w:rPr>
          <w:color w:val="000000"/>
          <w:lang w:val="en-IE"/>
        </w:rPr>
        <w:t>., 2003</w:t>
      </w:r>
      <w:r w:rsidRPr="00806349">
        <w:rPr>
          <w:strike/>
          <w:color w:val="000000"/>
          <w:lang w:val="en-IE"/>
        </w:rPr>
        <w:t>b</w:t>
      </w:r>
      <w:r w:rsidRPr="00806349">
        <w:rPr>
          <w:color w:val="000000"/>
          <w:lang w:val="en-IE"/>
        </w:rPr>
        <w:t xml:space="preserve">). Virulence is enhanced by the presence of REV provirus in the genome of field strains of </w:t>
      </w:r>
      <w:r w:rsidR="00924880" w:rsidRPr="00806349">
        <w:rPr>
          <w:lang w:val="en-IE"/>
        </w:rPr>
        <w:t>FPV</w:t>
      </w:r>
      <w:r w:rsidRPr="00806349">
        <w:rPr>
          <w:color w:val="000000"/>
          <w:lang w:val="en-IE"/>
        </w:rPr>
        <w:t>.</w:t>
      </w:r>
      <w:r w:rsidR="006A1EFA" w:rsidRPr="00806349">
        <w:rPr>
          <w:lang w:val="en-IE"/>
        </w:rPr>
        <w:t xml:space="preserve"> Whole genome sequences have been reported for several poxviruses (Afonso </w:t>
      </w:r>
      <w:r w:rsidR="006A1EFA" w:rsidRPr="00806349">
        <w:rPr>
          <w:i/>
          <w:iCs/>
          <w:lang w:val="en-IE"/>
        </w:rPr>
        <w:t>et al</w:t>
      </w:r>
      <w:r w:rsidR="006A1EFA" w:rsidRPr="00806349">
        <w:rPr>
          <w:lang w:val="en-IE"/>
        </w:rPr>
        <w:t xml:space="preserve">., 2000; </w:t>
      </w:r>
      <w:r w:rsidR="00C2397D" w:rsidRPr="00806349">
        <w:rPr>
          <w:lang w:val="en-IE"/>
        </w:rPr>
        <w:t xml:space="preserve">Banyai </w:t>
      </w:r>
      <w:r w:rsidR="00C2397D" w:rsidRPr="00806349">
        <w:rPr>
          <w:i/>
          <w:iCs/>
          <w:lang w:val="en-IE"/>
        </w:rPr>
        <w:t>et al.,</w:t>
      </w:r>
      <w:r w:rsidR="00C2397D" w:rsidRPr="00806349">
        <w:rPr>
          <w:lang w:val="en-IE"/>
        </w:rPr>
        <w:t xml:space="preserve"> 2015; </w:t>
      </w:r>
      <w:r w:rsidR="006A1EFA" w:rsidRPr="00806349">
        <w:rPr>
          <w:lang w:val="en-IE"/>
        </w:rPr>
        <w:t xml:space="preserve">Laidlaw &amp; Skinner, 2004; Sarkar </w:t>
      </w:r>
      <w:r w:rsidR="006A1EFA" w:rsidRPr="00806349">
        <w:rPr>
          <w:i/>
          <w:iCs/>
          <w:lang w:val="en-IE"/>
        </w:rPr>
        <w:t>et al.,</w:t>
      </w:r>
      <w:r w:rsidR="006A1EFA" w:rsidRPr="00806349">
        <w:rPr>
          <w:lang w:val="en-IE"/>
        </w:rPr>
        <w:t xml:space="preserve"> 2021).</w:t>
      </w:r>
      <w:r w:rsidRPr="00806349">
        <w:rPr>
          <w:color w:val="000000"/>
          <w:lang w:val="en-IE"/>
        </w:rPr>
        <w:t xml:space="preserve"> </w:t>
      </w:r>
      <w:r w:rsidRPr="00806349">
        <w:rPr>
          <w:lang w:val="en-IE"/>
        </w:rPr>
        <w:t>The functions of the majority of the genes are not known at this time</w:t>
      </w:r>
      <w:r w:rsidR="007141DB" w:rsidRPr="00806349">
        <w:rPr>
          <w:lang w:val="en-IE"/>
        </w:rPr>
        <w:t>. However, it is</w:t>
      </w:r>
      <w:r w:rsidRPr="00806349">
        <w:rPr>
          <w:lang w:val="en-IE"/>
        </w:rPr>
        <w:t xml:space="preserve"> interesting that the virus tends to persist in the poultry environment for extended periods of time where other viruses may not survive. In this regard</w:t>
      </w:r>
      <w:r w:rsidR="00B25A46" w:rsidRPr="00806349">
        <w:rPr>
          <w:u w:val="double"/>
          <w:lang w:val="en-IE"/>
        </w:rPr>
        <w:t>,</w:t>
      </w:r>
      <w:r w:rsidRPr="00806349">
        <w:rPr>
          <w:lang w:val="en-IE"/>
        </w:rPr>
        <w:t xml:space="preserve"> the presence of photolyase gene and A-type inclusion body gene in the virus genome appear to protect the virus from environmental insults (Srinivasan </w:t>
      </w:r>
      <w:r w:rsidRPr="00806349">
        <w:rPr>
          <w:i/>
          <w:iCs/>
          <w:lang w:val="en-IE"/>
        </w:rPr>
        <w:t>et al</w:t>
      </w:r>
      <w:r w:rsidRPr="00806349">
        <w:rPr>
          <w:lang w:val="en-IE"/>
        </w:rPr>
        <w:t xml:space="preserve">., 2001; Srinivasan &amp; Tripathy, 2005). Antigenic cross-reactivity is observed among </w:t>
      </w:r>
      <w:proofErr w:type="spellStart"/>
      <w:r w:rsidRPr="00A47C72">
        <w:rPr>
          <w:strike/>
          <w:lang w:val="en-IE"/>
        </w:rPr>
        <w:t>avianpox</w:t>
      </w:r>
      <w:proofErr w:type="spellEnd"/>
      <w:r w:rsidRPr="00A47C72">
        <w:rPr>
          <w:strike/>
          <w:lang w:val="en-IE"/>
        </w:rPr>
        <w:t xml:space="preserve"> </w:t>
      </w:r>
      <w:proofErr w:type="spellStart"/>
      <w:r w:rsidR="001A19D5" w:rsidRPr="00A47C72">
        <w:rPr>
          <w:u w:val="double"/>
          <w:lang w:val="en-IE"/>
        </w:rPr>
        <w:t>avipox</w:t>
      </w:r>
      <w:r w:rsidRPr="00806349">
        <w:rPr>
          <w:lang w:val="en-IE"/>
        </w:rPr>
        <w:t>viruses</w:t>
      </w:r>
      <w:proofErr w:type="spellEnd"/>
      <w:r w:rsidRPr="00806349">
        <w:rPr>
          <w:lang w:val="en-IE"/>
        </w:rPr>
        <w:t xml:space="preserve"> and it appears that many genes are conserved. Limited studies on antigenic, genetic and biologic comparison of </w:t>
      </w:r>
      <w:r w:rsidR="00924880" w:rsidRPr="00806349">
        <w:rPr>
          <w:lang w:val="en-IE"/>
        </w:rPr>
        <w:t xml:space="preserve">FPV </w:t>
      </w:r>
      <w:r w:rsidRPr="00806349">
        <w:rPr>
          <w:lang w:val="en-IE"/>
        </w:rPr>
        <w:t xml:space="preserve">with other </w:t>
      </w:r>
      <w:proofErr w:type="spellStart"/>
      <w:r w:rsidR="00A47C72" w:rsidRPr="00A47C72">
        <w:rPr>
          <w:strike/>
          <w:lang w:val="en-IE"/>
        </w:rPr>
        <w:t>avianpox</w:t>
      </w:r>
      <w:proofErr w:type="spellEnd"/>
      <w:r w:rsidR="00A47C72" w:rsidRPr="00A47C72">
        <w:rPr>
          <w:strike/>
          <w:lang w:val="en-IE"/>
        </w:rPr>
        <w:t xml:space="preserve"> </w:t>
      </w:r>
      <w:proofErr w:type="spellStart"/>
      <w:r w:rsidR="00A47C72" w:rsidRPr="00A47C72">
        <w:rPr>
          <w:u w:val="double"/>
          <w:lang w:val="en-IE"/>
        </w:rPr>
        <w:t>avipox</w:t>
      </w:r>
      <w:r w:rsidR="00A47C72" w:rsidRPr="00806349">
        <w:rPr>
          <w:lang w:val="en-IE"/>
        </w:rPr>
        <w:t>viruses</w:t>
      </w:r>
      <w:proofErr w:type="spellEnd"/>
      <w:r w:rsidR="00A47C72" w:rsidRPr="00806349">
        <w:rPr>
          <w:lang w:val="en-IE"/>
        </w:rPr>
        <w:t xml:space="preserve"> </w:t>
      </w:r>
      <w:r w:rsidRPr="00806349">
        <w:rPr>
          <w:lang w:val="en-IE"/>
        </w:rPr>
        <w:t xml:space="preserve">especially those that infect the wild birds are available. </w:t>
      </w:r>
      <w:r w:rsidRPr="00806349">
        <w:rPr>
          <w:strike/>
          <w:lang w:val="en-IE"/>
        </w:rPr>
        <w:t xml:space="preserve">Recently, </w:t>
      </w:r>
      <w:r w:rsidR="00D81300" w:rsidRPr="00806349">
        <w:rPr>
          <w:lang w:val="en-IE"/>
        </w:rPr>
        <w:t>C</w:t>
      </w:r>
      <w:r w:rsidRPr="00806349">
        <w:rPr>
          <w:lang w:val="en-IE"/>
        </w:rPr>
        <w:t xml:space="preserve">omplete </w:t>
      </w:r>
      <w:r w:rsidR="00B25A46" w:rsidRPr="00806349">
        <w:rPr>
          <w:u w:val="double"/>
          <w:lang w:val="en-IE"/>
        </w:rPr>
        <w:t xml:space="preserve">genome </w:t>
      </w:r>
      <w:r w:rsidRPr="00806349">
        <w:rPr>
          <w:lang w:val="en-IE"/>
        </w:rPr>
        <w:t>sequence</w:t>
      </w:r>
      <w:r w:rsidR="00B25A46" w:rsidRPr="00806349">
        <w:rPr>
          <w:u w:val="double"/>
          <w:lang w:val="en-IE"/>
        </w:rPr>
        <w:t>s</w:t>
      </w:r>
      <w:r w:rsidRPr="00806349">
        <w:rPr>
          <w:lang w:val="en-IE"/>
        </w:rPr>
        <w:t xml:space="preserve"> of </w:t>
      </w:r>
      <w:r w:rsidR="00B25A46" w:rsidRPr="00806349">
        <w:rPr>
          <w:u w:val="double"/>
          <w:lang w:val="en-IE"/>
        </w:rPr>
        <w:t>a</w:t>
      </w:r>
      <w:r w:rsidR="00B25A46" w:rsidRPr="00806349">
        <w:rPr>
          <w:lang w:val="en-IE"/>
        </w:rPr>
        <w:t xml:space="preserve"> </w:t>
      </w:r>
      <w:r w:rsidRPr="00806349">
        <w:rPr>
          <w:lang w:val="en-IE"/>
        </w:rPr>
        <w:t>canarypox virus</w:t>
      </w:r>
      <w:r w:rsidR="00B25A46" w:rsidRPr="00806349">
        <w:rPr>
          <w:u w:val="double"/>
          <w:lang w:val="en-IE"/>
        </w:rPr>
        <w:t>,</w:t>
      </w:r>
      <w:r w:rsidR="00B5538B" w:rsidRPr="00806349">
        <w:t xml:space="preserve"> </w:t>
      </w:r>
      <w:r w:rsidR="00B5538B" w:rsidRPr="00806349">
        <w:rPr>
          <w:strike/>
        </w:rPr>
        <w:t>has become available</w:t>
      </w:r>
      <w:r w:rsidR="00B25A46" w:rsidRPr="00806349">
        <w:rPr>
          <w:strike/>
          <w:lang w:val="en-IE"/>
        </w:rPr>
        <w:t xml:space="preserve"> </w:t>
      </w:r>
      <w:r w:rsidR="00B25A46" w:rsidRPr="00806349">
        <w:rPr>
          <w:u w:val="double"/>
          <w:lang w:val="en-IE"/>
        </w:rPr>
        <w:t>as well as a pigeon and penguin poxvirus have been</w:t>
      </w:r>
      <w:r w:rsidR="008B33EF" w:rsidRPr="00806349">
        <w:rPr>
          <w:u w:val="double"/>
          <w:lang w:val="en-IE"/>
        </w:rPr>
        <w:t xml:space="preserve"> reported</w:t>
      </w:r>
      <w:r w:rsidRPr="00806349">
        <w:rPr>
          <w:u w:val="double"/>
          <w:lang w:val="en-IE"/>
        </w:rPr>
        <w:t xml:space="preserve"> </w:t>
      </w:r>
      <w:r w:rsidR="00D81300" w:rsidRPr="00806349">
        <w:rPr>
          <w:u w:val="double"/>
          <w:lang w:val="en-IE"/>
        </w:rPr>
        <w:t>(</w:t>
      </w:r>
      <w:r w:rsidR="00D424E4" w:rsidRPr="00806349">
        <w:rPr>
          <w:u w:val="double"/>
          <w:lang w:val="en-IE"/>
        </w:rPr>
        <w:t xml:space="preserve">Offerman </w:t>
      </w:r>
      <w:r w:rsidR="00D424E4" w:rsidRPr="00806349">
        <w:rPr>
          <w:i/>
          <w:iCs/>
          <w:u w:val="double"/>
          <w:lang w:val="en-IE"/>
        </w:rPr>
        <w:t>et al.,</w:t>
      </w:r>
      <w:r w:rsidR="00D424E4" w:rsidRPr="00806349">
        <w:rPr>
          <w:u w:val="double"/>
          <w:lang w:val="en-IE"/>
        </w:rPr>
        <w:t xml:space="preserve"> 2014; </w:t>
      </w:r>
      <w:r w:rsidR="00D81300" w:rsidRPr="00806349">
        <w:rPr>
          <w:u w:val="double"/>
          <w:lang w:val="en-IE"/>
        </w:rPr>
        <w:t xml:space="preserve">Tulman </w:t>
      </w:r>
      <w:r w:rsidR="00D81300" w:rsidRPr="00806349">
        <w:rPr>
          <w:i/>
          <w:iCs/>
          <w:u w:val="double"/>
          <w:lang w:val="en-IE"/>
        </w:rPr>
        <w:t>et al,</w:t>
      </w:r>
      <w:r w:rsidR="00D81300" w:rsidRPr="00806349">
        <w:rPr>
          <w:u w:val="double"/>
          <w:lang w:val="en-IE"/>
        </w:rPr>
        <w:t xml:space="preserve"> 2004)</w:t>
      </w:r>
      <w:r w:rsidRPr="00806349">
        <w:rPr>
          <w:lang w:val="en-IE"/>
        </w:rPr>
        <w:t>.</w:t>
      </w:r>
    </w:p>
    <w:p w14:paraId="40737FCF" w14:textId="77777777" w:rsidR="001D593A" w:rsidRPr="00806349" w:rsidRDefault="001D593A">
      <w:pPr>
        <w:pStyle w:val="A"/>
        <w:rPr>
          <w:lang w:val="en-IE"/>
        </w:rPr>
      </w:pPr>
      <w:r w:rsidRPr="00806349">
        <w:rPr>
          <w:lang w:val="en-IE"/>
        </w:rPr>
        <w:t>B.  DIAGNOSTIC TECHNIQUES</w:t>
      </w:r>
    </w:p>
    <w:p w14:paraId="40737FD0" w14:textId="105D5D35" w:rsidR="001D593A" w:rsidRPr="006C25C0" w:rsidRDefault="001D593A" w:rsidP="00141805">
      <w:pPr>
        <w:pStyle w:val="A"/>
        <w:spacing w:after="120"/>
        <w:rPr>
          <w:rFonts w:ascii="Söhne Kräftig" w:hAnsi="Söhne Kräftig" w:cs="Times"/>
          <w:b/>
          <w:bCs w:val="0"/>
          <w:i/>
          <w:iCs/>
          <w:sz w:val="18"/>
          <w:szCs w:val="18"/>
          <w:lang w:val="en-IE"/>
        </w:rPr>
      </w:pPr>
      <w:r w:rsidRPr="006C25C0">
        <w:rPr>
          <w:rFonts w:ascii="Söhne Kräftig" w:hAnsi="Söhne Kräftig"/>
          <w:b/>
          <w:bCs w:val="0"/>
          <w:i/>
          <w:iCs/>
          <w:caps w:val="0"/>
          <w:sz w:val="18"/>
          <w:szCs w:val="18"/>
          <w:lang w:val="en-IE"/>
        </w:rPr>
        <w:t xml:space="preserve">Table </w:t>
      </w:r>
      <w:r w:rsidRPr="006C25C0">
        <w:rPr>
          <w:rFonts w:ascii="Söhne Kräftig" w:hAnsi="Söhne Kräftig"/>
          <w:b/>
          <w:bCs w:val="0"/>
          <w:i/>
          <w:iCs/>
          <w:sz w:val="18"/>
          <w:szCs w:val="18"/>
          <w:lang w:val="en-IE"/>
        </w:rPr>
        <w:t xml:space="preserve">1. </w:t>
      </w:r>
      <w:r w:rsidRPr="006C25C0">
        <w:rPr>
          <w:rFonts w:ascii="Söhne Kräftig" w:hAnsi="Söhne Kräftig"/>
          <w:bCs w:val="0"/>
          <w:i/>
          <w:iCs/>
          <w:caps w:val="0"/>
          <w:sz w:val="18"/>
          <w:szCs w:val="18"/>
          <w:lang w:val="en-IE"/>
        </w:rPr>
        <w:t>Test methods available for diagnosis of fowl</w:t>
      </w:r>
      <w:r w:rsidR="00A04A48" w:rsidRPr="006C25C0">
        <w:rPr>
          <w:rFonts w:ascii="Söhne Kräftig" w:hAnsi="Söhne Kräftig"/>
          <w:bCs w:val="0"/>
          <w:i/>
          <w:iCs/>
          <w:caps w:val="0"/>
          <w:sz w:val="18"/>
          <w:szCs w:val="18"/>
          <w:lang w:val="en-IE"/>
        </w:rPr>
        <w:t xml:space="preserve"> </w:t>
      </w:r>
      <w:r w:rsidRPr="006C25C0">
        <w:rPr>
          <w:rFonts w:ascii="Söhne Kräftig" w:hAnsi="Söhne Kräftig"/>
          <w:bCs w:val="0"/>
          <w:i/>
          <w:iCs/>
          <w:caps w:val="0"/>
          <w:sz w:val="18"/>
          <w:szCs w:val="18"/>
          <w:lang w:val="en-IE"/>
        </w:rPr>
        <w:t>pox</w:t>
      </w:r>
      <w:r w:rsidRPr="006C25C0">
        <w:rPr>
          <w:rFonts w:ascii="Söhne Kräftig" w:hAnsi="Söhne Kräftig"/>
          <w:bCs w:val="0"/>
          <w:caps w:val="0"/>
          <w:sz w:val="18"/>
          <w:szCs w:val="18"/>
          <w:lang w:val="en-IE"/>
        </w:rPr>
        <w:t xml:space="preserve"> </w:t>
      </w:r>
      <w:r w:rsidRPr="006C25C0">
        <w:rPr>
          <w:rFonts w:ascii="Söhne Kräftig" w:hAnsi="Söhne Kräftig"/>
          <w:bCs w:val="0"/>
          <w:i/>
          <w:iCs/>
          <w:caps w:val="0"/>
          <w:sz w:val="18"/>
          <w:szCs w:val="18"/>
          <w:lang w:val="en-IE"/>
        </w:rPr>
        <w:t>and their purpose</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555"/>
        <w:gridCol w:w="992"/>
        <w:gridCol w:w="1483"/>
        <w:gridCol w:w="1061"/>
        <w:gridCol w:w="1134"/>
        <w:gridCol w:w="1276"/>
        <w:gridCol w:w="1701"/>
      </w:tblGrid>
      <w:tr w:rsidR="001D593A" w:rsidRPr="00806349" w14:paraId="40737FD3" w14:textId="77777777" w:rsidTr="00016D4F">
        <w:trPr>
          <w:trHeight w:val="402"/>
          <w:tblHeader/>
          <w:jc w:val="center"/>
        </w:trPr>
        <w:tc>
          <w:tcPr>
            <w:tcW w:w="1555" w:type="dxa"/>
            <w:vMerge w:val="restart"/>
            <w:vAlign w:val="center"/>
          </w:tcPr>
          <w:p w14:paraId="40737FD1" w14:textId="77777777" w:rsidR="001D593A" w:rsidRPr="00806349" w:rsidRDefault="001D593A" w:rsidP="00AF7D31">
            <w:pPr>
              <w:pStyle w:val="TableHead"/>
              <w:rPr>
                <w:rFonts w:ascii="Söhne Kräftig" w:hAnsi="Söhne Kräftig" w:cs="Arial"/>
                <w:b w:val="0"/>
                <w:bCs w:val="0"/>
              </w:rPr>
            </w:pPr>
            <w:r w:rsidRPr="00806349">
              <w:rPr>
                <w:rFonts w:ascii="Söhne Kräftig" w:hAnsi="Söhne Kräftig" w:cs="Arial"/>
                <w:b w:val="0"/>
                <w:bCs w:val="0"/>
              </w:rPr>
              <w:t>Method</w:t>
            </w:r>
          </w:p>
        </w:tc>
        <w:tc>
          <w:tcPr>
            <w:tcW w:w="7647" w:type="dxa"/>
            <w:gridSpan w:val="6"/>
            <w:vAlign w:val="center"/>
          </w:tcPr>
          <w:p w14:paraId="40737FD2" w14:textId="77777777" w:rsidR="001D593A" w:rsidRPr="00806349" w:rsidRDefault="001D593A" w:rsidP="00AF7D31">
            <w:pPr>
              <w:pStyle w:val="Tabletext"/>
              <w:rPr>
                <w:rFonts w:ascii="Söhne Kräftig" w:hAnsi="Söhne Kräftig"/>
              </w:rPr>
            </w:pPr>
            <w:r w:rsidRPr="00806349">
              <w:rPr>
                <w:rFonts w:ascii="Söhne Kräftig" w:hAnsi="Söhne Kräftig"/>
              </w:rPr>
              <w:t>Purpose</w:t>
            </w:r>
          </w:p>
        </w:tc>
      </w:tr>
      <w:tr w:rsidR="001D593A" w:rsidRPr="00806349" w14:paraId="40737FDB" w14:textId="77777777" w:rsidTr="00016D4F">
        <w:trPr>
          <w:trHeight w:val="402"/>
          <w:tblHeader/>
          <w:jc w:val="center"/>
        </w:trPr>
        <w:tc>
          <w:tcPr>
            <w:tcW w:w="1555" w:type="dxa"/>
            <w:vMerge/>
            <w:vAlign w:val="center"/>
          </w:tcPr>
          <w:p w14:paraId="40737FD4" w14:textId="77777777" w:rsidR="001D593A" w:rsidRPr="00806349" w:rsidRDefault="001D593A" w:rsidP="00AF7D31">
            <w:pPr>
              <w:pStyle w:val="TableHead"/>
              <w:rPr>
                <w:rFonts w:ascii="Söhne Kräftig" w:hAnsi="Söhne Kräftig" w:cs="Arial"/>
                <w:sz w:val="16"/>
                <w:szCs w:val="16"/>
              </w:rPr>
            </w:pPr>
          </w:p>
        </w:tc>
        <w:tc>
          <w:tcPr>
            <w:tcW w:w="992" w:type="dxa"/>
            <w:vAlign w:val="center"/>
          </w:tcPr>
          <w:p w14:paraId="40737FD5" w14:textId="77777777" w:rsidR="001D593A" w:rsidRPr="00806349" w:rsidRDefault="001D593A" w:rsidP="00AF7D31">
            <w:pPr>
              <w:pStyle w:val="Tabletext"/>
              <w:rPr>
                <w:rFonts w:ascii="Söhne Kräftig" w:hAnsi="Söhne Kräftig"/>
                <w:sz w:val="16"/>
                <w:szCs w:val="16"/>
              </w:rPr>
            </w:pPr>
            <w:r w:rsidRPr="00806349">
              <w:rPr>
                <w:rFonts w:ascii="Söhne Kräftig" w:hAnsi="Söhne Kräftig"/>
                <w:sz w:val="16"/>
                <w:szCs w:val="16"/>
              </w:rPr>
              <w:t>Population freedom from infection</w:t>
            </w:r>
          </w:p>
        </w:tc>
        <w:tc>
          <w:tcPr>
            <w:tcW w:w="1483" w:type="dxa"/>
            <w:vAlign w:val="center"/>
          </w:tcPr>
          <w:p w14:paraId="40737FD6" w14:textId="77777777" w:rsidR="001D593A" w:rsidRPr="00806349" w:rsidRDefault="001D593A" w:rsidP="00AF7D31">
            <w:pPr>
              <w:pStyle w:val="Tabletext"/>
              <w:rPr>
                <w:rFonts w:ascii="Söhne Kräftig" w:hAnsi="Söhne Kräftig"/>
                <w:sz w:val="16"/>
                <w:szCs w:val="16"/>
              </w:rPr>
            </w:pPr>
            <w:r w:rsidRPr="00806349">
              <w:rPr>
                <w:rFonts w:ascii="Söhne Kräftig" w:hAnsi="Söhne Kräftig"/>
                <w:sz w:val="16"/>
                <w:szCs w:val="16"/>
              </w:rPr>
              <w:t>Individual animal freedom from infection prior to movement</w:t>
            </w:r>
          </w:p>
        </w:tc>
        <w:tc>
          <w:tcPr>
            <w:tcW w:w="1061" w:type="dxa"/>
            <w:vAlign w:val="center"/>
          </w:tcPr>
          <w:p w14:paraId="40737FD7" w14:textId="77777777" w:rsidR="001D593A" w:rsidRPr="00806349" w:rsidRDefault="001D593A" w:rsidP="00AF7D31">
            <w:pPr>
              <w:pStyle w:val="Tabletext"/>
              <w:rPr>
                <w:rFonts w:ascii="Söhne Kräftig" w:hAnsi="Söhne Kräftig"/>
                <w:sz w:val="16"/>
                <w:szCs w:val="16"/>
              </w:rPr>
            </w:pPr>
            <w:r w:rsidRPr="00806349">
              <w:rPr>
                <w:rFonts w:ascii="Söhne Kräftig" w:hAnsi="Söhne Kräftig"/>
                <w:sz w:val="16"/>
                <w:szCs w:val="16"/>
              </w:rPr>
              <w:t>Contribution to eradication policies</w:t>
            </w:r>
          </w:p>
        </w:tc>
        <w:tc>
          <w:tcPr>
            <w:tcW w:w="1134" w:type="dxa"/>
            <w:vAlign w:val="center"/>
          </w:tcPr>
          <w:p w14:paraId="40737FD8" w14:textId="77777777" w:rsidR="001D593A" w:rsidRPr="00806349" w:rsidRDefault="001D593A" w:rsidP="00AF7D31">
            <w:pPr>
              <w:pStyle w:val="Tabletext"/>
              <w:rPr>
                <w:rFonts w:ascii="Söhne Kräftig" w:hAnsi="Söhne Kräftig"/>
                <w:sz w:val="16"/>
                <w:szCs w:val="16"/>
              </w:rPr>
            </w:pPr>
            <w:r w:rsidRPr="00806349">
              <w:rPr>
                <w:rFonts w:ascii="Söhne Kräftig" w:hAnsi="Söhne Kräftig"/>
                <w:sz w:val="16"/>
                <w:szCs w:val="16"/>
              </w:rPr>
              <w:t>Confirmation of clinical cases</w:t>
            </w:r>
          </w:p>
        </w:tc>
        <w:tc>
          <w:tcPr>
            <w:tcW w:w="1276" w:type="dxa"/>
            <w:vAlign w:val="center"/>
          </w:tcPr>
          <w:p w14:paraId="40737FD9" w14:textId="77777777" w:rsidR="001D593A" w:rsidRPr="00806349" w:rsidRDefault="001D593A" w:rsidP="00AF7D31">
            <w:pPr>
              <w:pStyle w:val="Tabletext"/>
              <w:rPr>
                <w:rFonts w:ascii="Söhne Kräftig" w:hAnsi="Söhne Kräftig"/>
                <w:sz w:val="16"/>
                <w:szCs w:val="16"/>
              </w:rPr>
            </w:pPr>
            <w:r w:rsidRPr="00806349">
              <w:rPr>
                <w:rFonts w:ascii="Söhne Kräftig" w:hAnsi="Söhne Kräftig"/>
                <w:sz w:val="16"/>
                <w:szCs w:val="16"/>
              </w:rPr>
              <w:t>Prevalence of infection – surveillance</w:t>
            </w:r>
          </w:p>
        </w:tc>
        <w:tc>
          <w:tcPr>
            <w:tcW w:w="1701" w:type="dxa"/>
            <w:vAlign w:val="center"/>
          </w:tcPr>
          <w:p w14:paraId="40737FDA" w14:textId="77777777" w:rsidR="001D593A" w:rsidRPr="00806349" w:rsidRDefault="001D593A" w:rsidP="00AF7D31">
            <w:pPr>
              <w:pStyle w:val="Tabletext"/>
              <w:rPr>
                <w:rFonts w:ascii="Söhne Kräftig" w:hAnsi="Söhne Kräftig"/>
                <w:sz w:val="16"/>
                <w:szCs w:val="16"/>
              </w:rPr>
            </w:pPr>
            <w:r w:rsidRPr="00806349">
              <w:rPr>
                <w:rFonts w:ascii="Söhne Kräftig" w:hAnsi="Söhne Kräftig"/>
                <w:sz w:val="16"/>
                <w:szCs w:val="16"/>
              </w:rPr>
              <w:t>Immune status in individual animals or populations post-vaccination</w:t>
            </w:r>
          </w:p>
        </w:tc>
      </w:tr>
      <w:tr w:rsidR="001D593A" w:rsidRPr="00806349" w14:paraId="40737FDD" w14:textId="77777777" w:rsidTr="000D47FC">
        <w:trPr>
          <w:trHeight w:val="402"/>
          <w:jc w:val="center"/>
        </w:trPr>
        <w:tc>
          <w:tcPr>
            <w:tcW w:w="9202" w:type="dxa"/>
            <w:gridSpan w:val="7"/>
            <w:shd w:val="pct10" w:color="auto" w:fill="auto"/>
          </w:tcPr>
          <w:p w14:paraId="40737FDC" w14:textId="1608D378" w:rsidR="001D593A" w:rsidRPr="00806349" w:rsidRDefault="003931D1" w:rsidP="00AF7D31">
            <w:pPr>
              <w:pStyle w:val="Tabletext"/>
              <w:rPr>
                <w:rFonts w:ascii="Söhne Kräftig" w:hAnsi="Söhne Kräftig" w:cs="Times"/>
                <w:sz w:val="16"/>
                <w:szCs w:val="16"/>
              </w:rPr>
            </w:pPr>
            <w:r w:rsidRPr="00806349">
              <w:rPr>
                <w:rFonts w:ascii="Söhne Kräftig" w:hAnsi="Söhne Kräftig"/>
                <w:sz w:val="16"/>
                <w:szCs w:val="16"/>
              </w:rPr>
              <w:t>Detection of the agent</w:t>
            </w:r>
            <w:r w:rsidR="001D593A" w:rsidRPr="00806349">
              <w:rPr>
                <w:rStyle w:val="FootnoteReference"/>
                <w:rFonts w:ascii="Söhne Kräftig" w:hAnsi="Söhne Kräftig" w:cs="Times"/>
                <w:strike/>
                <w:sz w:val="16"/>
                <w:szCs w:val="16"/>
              </w:rPr>
              <w:footnoteReference w:id="2"/>
            </w:r>
          </w:p>
        </w:tc>
      </w:tr>
      <w:tr w:rsidR="00016D4F" w:rsidRPr="00016D4F" w14:paraId="4039BE12" w14:textId="77777777" w:rsidTr="00016D4F">
        <w:trPr>
          <w:trHeight w:val="402"/>
          <w:jc w:val="center"/>
        </w:trPr>
        <w:tc>
          <w:tcPr>
            <w:tcW w:w="1555" w:type="dxa"/>
            <w:tcBorders>
              <w:bottom w:val="single" w:sz="4" w:space="0" w:color="auto"/>
            </w:tcBorders>
          </w:tcPr>
          <w:p w14:paraId="759F06FB" w14:textId="1286F4BE" w:rsidR="00067CA1" w:rsidRPr="00016D4F" w:rsidRDefault="00067CA1" w:rsidP="00067CA1">
            <w:pPr>
              <w:spacing w:before="120" w:after="120"/>
              <w:jc w:val="center"/>
              <w:rPr>
                <w:rFonts w:ascii="Söhne Kräftig" w:hAnsi="Söhne Kräftig" w:cs="Arial"/>
                <w:sz w:val="16"/>
                <w:szCs w:val="16"/>
                <w:highlight w:val="yellow"/>
                <w:u w:val="double"/>
                <w:lang w:val="en-IE"/>
              </w:rPr>
            </w:pPr>
            <w:r w:rsidRPr="00016D4F">
              <w:rPr>
                <w:rFonts w:ascii="Söhne Kräftig" w:hAnsi="Söhne Kräftig" w:cs="Arial"/>
                <w:sz w:val="18"/>
                <w:szCs w:val="18"/>
                <w:highlight w:val="yellow"/>
                <w:u w:val="double"/>
                <w:lang w:val="en-IE"/>
              </w:rPr>
              <w:t>Histopathology</w:t>
            </w:r>
          </w:p>
        </w:tc>
        <w:tc>
          <w:tcPr>
            <w:tcW w:w="992" w:type="dxa"/>
            <w:tcBorders>
              <w:bottom w:val="single" w:sz="4" w:space="0" w:color="auto"/>
            </w:tcBorders>
            <w:vAlign w:val="center"/>
          </w:tcPr>
          <w:p w14:paraId="70DBB38E" w14:textId="5E67D6CB" w:rsidR="00067CA1" w:rsidRPr="00016D4F" w:rsidRDefault="00067CA1" w:rsidP="00067CA1">
            <w:pPr>
              <w:pStyle w:val="Tabletext"/>
              <w:rPr>
                <w:rFonts w:ascii="Söhne" w:hAnsi="Söhne"/>
                <w:sz w:val="16"/>
                <w:szCs w:val="16"/>
                <w:highlight w:val="yellow"/>
                <w:u w:val="double"/>
              </w:rPr>
            </w:pPr>
            <w:r w:rsidRPr="00016D4F">
              <w:rPr>
                <w:rFonts w:ascii="Söhne" w:hAnsi="Söhne"/>
                <w:highlight w:val="yellow"/>
                <w:u w:val="double"/>
              </w:rPr>
              <w:t>–</w:t>
            </w:r>
          </w:p>
        </w:tc>
        <w:tc>
          <w:tcPr>
            <w:tcW w:w="1483" w:type="dxa"/>
            <w:tcBorders>
              <w:bottom w:val="single" w:sz="4" w:space="0" w:color="auto"/>
            </w:tcBorders>
            <w:vAlign w:val="center"/>
          </w:tcPr>
          <w:p w14:paraId="37844FD7" w14:textId="50A8054F" w:rsidR="00067CA1" w:rsidRPr="00016D4F" w:rsidRDefault="00067CA1" w:rsidP="00067CA1">
            <w:pPr>
              <w:pStyle w:val="Tabletext"/>
              <w:rPr>
                <w:rFonts w:ascii="Söhne" w:hAnsi="Söhne"/>
                <w:sz w:val="16"/>
                <w:szCs w:val="16"/>
                <w:highlight w:val="yellow"/>
                <w:u w:val="double"/>
              </w:rPr>
            </w:pPr>
            <w:r w:rsidRPr="00016D4F">
              <w:rPr>
                <w:rFonts w:ascii="Söhne" w:hAnsi="Söhne"/>
                <w:highlight w:val="yellow"/>
                <w:u w:val="double"/>
              </w:rPr>
              <w:t>–</w:t>
            </w:r>
          </w:p>
        </w:tc>
        <w:tc>
          <w:tcPr>
            <w:tcW w:w="1061" w:type="dxa"/>
            <w:tcBorders>
              <w:bottom w:val="single" w:sz="4" w:space="0" w:color="auto"/>
            </w:tcBorders>
            <w:vAlign w:val="center"/>
          </w:tcPr>
          <w:p w14:paraId="69F7AB51" w14:textId="58E08030" w:rsidR="00067CA1" w:rsidRPr="00016D4F" w:rsidRDefault="00067CA1" w:rsidP="00067CA1">
            <w:pPr>
              <w:pStyle w:val="Tabletext"/>
              <w:rPr>
                <w:rFonts w:ascii="Söhne" w:hAnsi="Söhne"/>
                <w:sz w:val="16"/>
                <w:szCs w:val="16"/>
                <w:highlight w:val="yellow"/>
                <w:u w:val="double"/>
              </w:rPr>
            </w:pPr>
            <w:r w:rsidRPr="00016D4F">
              <w:rPr>
                <w:rFonts w:ascii="Söhne" w:hAnsi="Söhne"/>
                <w:highlight w:val="yellow"/>
                <w:u w:val="double"/>
              </w:rPr>
              <w:t>–</w:t>
            </w:r>
          </w:p>
        </w:tc>
        <w:tc>
          <w:tcPr>
            <w:tcW w:w="1134" w:type="dxa"/>
            <w:tcBorders>
              <w:bottom w:val="single" w:sz="4" w:space="0" w:color="auto"/>
            </w:tcBorders>
            <w:vAlign w:val="center"/>
          </w:tcPr>
          <w:p w14:paraId="5D7435D0" w14:textId="37A29F22" w:rsidR="00067CA1" w:rsidRPr="00016D4F" w:rsidRDefault="00067CA1" w:rsidP="00067CA1">
            <w:pPr>
              <w:pStyle w:val="Tabletext"/>
              <w:rPr>
                <w:rFonts w:ascii="Söhne" w:hAnsi="Söhne"/>
                <w:sz w:val="16"/>
                <w:szCs w:val="16"/>
                <w:highlight w:val="yellow"/>
                <w:u w:val="double"/>
              </w:rPr>
            </w:pPr>
            <w:r w:rsidRPr="00016D4F">
              <w:rPr>
                <w:rFonts w:ascii="Söhne" w:hAnsi="Söhne"/>
                <w:highlight w:val="yellow"/>
                <w:u w:val="double"/>
              </w:rPr>
              <w:t>+++</w:t>
            </w:r>
          </w:p>
        </w:tc>
        <w:tc>
          <w:tcPr>
            <w:tcW w:w="1276" w:type="dxa"/>
            <w:tcBorders>
              <w:bottom w:val="single" w:sz="4" w:space="0" w:color="auto"/>
            </w:tcBorders>
            <w:vAlign w:val="center"/>
          </w:tcPr>
          <w:p w14:paraId="4E416246" w14:textId="74BFB231" w:rsidR="00067CA1" w:rsidRPr="00016D4F" w:rsidRDefault="00067CA1" w:rsidP="00067CA1">
            <w:pPr>
              <w:pStyle w:val="Tabletext"/>
              <w:rPr>
                <w:rFonts w:ascii="Söhne" w:hAnsi="Söhne"/>
                <w:sz w:val="16"/>
                <w:szCs w:val="16"/>
                <w:highlight w:val="yellow"/>
                <w:u w:val="double"/>
              </w:rPr>
            </w:pPr>
            <w:r w:rsidRPr="00016D4F">
              <w:rPr>
                <w:rFonts w:ascii="Söhne" w:hAnsi="Söhne"/>
                <w:highlight w:val="yellow"/>
                <w:u w:val="double"/>
              </w:rPr>
              <w:t>–</w:t>
            </w:r>
          </w:p>
        </w:tc>
        <w:tc>
          <w:tcPr>
            <w:tcW w:w="1701" w:type="dxa"/>
            <w:tcBorders>
              <w:bottom w:val="single" w:sz="4" w:space="0" w:color="auto"/>
            </w:tcBorders>
            <w:vAlign w:val="center"/>
          </w:tcPr>
          <w:p w14:paraId="3D63FEFB" w14:textId="7923EFA4" w:rsidR="00067CA1" w:rsidRPr="00016D4F" w:rsidRDefault="00067CA1" w:rsidP="00067CA1">
            <w:pPr>
              <w:pStyle w:val="Tabletext"/>
              <w:rPr>
                <w:rFonts w:ascii="Söhne" w:hAnsi="Söhne"/>
                <w:sz w:val="16"/>
                <w:szCs w:val="16"/>
                <w:u w:val="double"/>
              </w:rPr>
            </w:pPr>
            <w:r w:rsidRPr="00016D4F">
              <w:rPr>
                <w:rFonts w:ascii="Söhne" w:hAnsi="Söhne"/>
                <w:highlight w:val="yellow"/>
                <w:u w:val="double"/>
              </w:rPr>
              <w:t>–</w:t>
            </w:r>
          </w:p>
        </w:tc>
      </w:tr>
      <w:tr w:rsidR="001D593A" w:rsidRPr="00806349" w14:paraId="40737FE5" w14:textId="77777777" w:rsidTr="00016D4F">
        <w:trPr>
          <w:trHeight w:val="402"/>
          <w:jc w:val="center"/>
        </w:trPr>
        <w:tc>
          <w:tcPr>
            <w:tcW w:w="1555" w:type="dxa"/>
            <w:tcBorders>
              <w:bottom w:val="single" w:sz="4" w:space="0" w:color="auto"/>
            </w:tcBorders>
          </w:tcPr>
          <w:p w14:paraId="40737FDE" w14:textId="77777777" w:rsidR="001D593A" w:rsidRPr="00806349" w:rsidRDefault="001D593A" w:rsidP="00AF7D31">
            <w:pPr>
              <w:spacing w:before="120" w:after="120"/>
              <w:jc w:val="center"/>
              <w:rPr>
                <w:rFonts w:ascii="Söhne Kräftig" w:hAnsi="Söhne Kräftig" w:cs="Arial"/>
                <w:sz w:val="16"/>
                <w:szCs w:val="16"/>
                <w:lang w:val="en-IE"/>
              </w:rPr>
            </w:pPr>
            <w:r w:rsidRPr="00806349">
              <w:rPr>
                <w:rFonts w:ascii="Söhne Kräftig" w:hAnsi="Söhne Kräftig" w:cs="Arial"/>
                <w:sz w:val="16"/>
                <w:szCs w:val="16"/>
                <w:lang w:val="en-IE"/>
              </w:rPr>
              <w:t>Virus isolation</w:t>
            </w:r>
          </w:p>
        </w:tc>
        <w:tc>
          <w:tcPr>
            <w:tcW w:w="992" w:type="dxa"/>
            <w:tcBorders>
              <w:bottom w:val="single" w:sz="4" w:space="0" w:color="auto"/>
            </w:tcBorders>
            <w:vAlign w:val="center"/>
          </w:tcPr>
          <w:p w14:paraId="40737FDF"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483" w:type="dxa"/>
            <w:tcBorders>
              <w:bottom w:val="single" w:sz="4" w:space="0" w:color="auto"/>
            </w:tcBorders>
            <w:vAlign w:val="center"/>
          </w:tcPr>
          <w:p w14:paraId="40737FE0"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061" w:type="dxa"/>
            <w:tcBorders>
              <w:bottom w:val="single" w:sz="4" w:space="0" w:color="auto"/>
            </w:tcBorders>
            <w:vAlign w:val="center"/>
          </w:tcPr>
          <w:p w14:paraId="40737FE1"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134" w:type="dxa"/>
            <w:tcBorders>
              <w:bottom w:val="single" w:sz="4" w:space="0" w:color="auto"/>
            </w:tcBorders>
            <w:vAlign w:val="center"/>
          </w:tcPr>
          <w:p w14:paraId="40737FE2" w14:textId="39E307AC" w:rsidR="001D593A" w:rsidRPr="00806349" w:rsidRDefault="00953FA1" w:rsidP="00AF7D31">
            <w:pPr>
              <w:pStyle w:val="Tabletext"/>
              <w:rPr>
                <w:rFonts w:ascii="Söhne" w:hAnsi="Söhne" w:cs="Times"/>
                <w:sz w:val="16"/>
                <w:szCs w:val="16"/>
              </w:rPr>
            </w:pPr>
            <w:r w:rsidRPr="00806349">
              <w:rPr>
                <w:rFonts w:ascii="Söhne" w:hAnsi="Söhne"/>
                <w:sz w:val="16"/>
                <w:szCs w:val="16"/>
                <w:u w:val="double"/>
              </w:rPr>
              <w:t>++</w:t>
            </w:r>
            <w:r w:rsidR="001D593A" w:rsidRPr="00806349">
              <w:rPr>
                <w:rFonts w:ascii="Söhne" w:hAnsi="Söhne"/>
                <w:sz w:val="16"/>
                <w:szCs w:val="16"/>
              </w:rPr>
              <w:t>+</w:t>
            </w:r>
          </w:p>
        </w:tc>
        <w:tc>
          <w:tcPr>
            <w:tcW w:w="1276" w:type="dxa"/>
            <w:tcBorders>
              <w:bottom w:val="single" w:sz="4" w:space="0" w:color="auto"/>
            </w:tcBorders>
            <w:vAlign w:val="center"/>
          </w:tcPr>
          <w:p w14:paraId="40737FE3"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701" w:type="dxa"/>
            <w:tcBorders>
              <w:bottom w:val="single" w:sz="4" w:space="0" w:color="auto"/>
            </w:tcBorders>
            <w:vAlign w:val="center"/>
          </w:tcPr>
          <w:p w14:paraId="40737FE4"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r>
      <w:tr w:rsidR="001D593A" w:rsidRPr="00806349" w14:paraId="40737FED" w14:textId="77777777" w:rsidTr="00016D4F">
        <w:trPr>
          <w:trHeight w:val="402"/>
          <w:jc w:val="center"/>
        </w:trPr>
        <w:tc>
          <w:tcPr>
            <w:tcW w:w="1555" w:type="dxa"/>
          </w:tcPr>
          <w:p w14:paraId="40737FE6" w14:textId="3E897A8C" w:rsidR="001D593A" w:rsidRPr="00806349" w:rsidRDefault="001D593A" w:rsidP="00657F0B">
            <w:pPr>
              <w:spacing w:before="120" w:after="120"/>
              <w:jc w:val="center"/>
              <w:rPr>
                <w:rFonts w:ascii="Söhne Kräftig" w:hAnsi="Söhne Kräftig" w:cs="Arial"/>
                <w:sz w:val="16"/>
                <w:szCs w:val="16"/>
                <w:lang w:val="en-IE"/>
              </w:rPr>
            </w:pPr>
            <w:r w:rsidRPr="00806349">
              <w:rPr>
                <w:rFonts w:ascii="Söhne Kräftig" w:hAnsi="Söhne Kräftig" w:cs="Arial"/>
                <w:strike/>
                <w:sz w:val="16"/>
                <w:szCs w:val="16"/>
                <w:lang w:val="en-IE"/>
              </w:rPr>
              <w:t xml:space="preserve">Real-time </w:t>
            </w:r>
            <w:r w:rsidRPr="00806349">
              <w:rPr>
                <w:rFonts w:ascii="Söhne Kräftig" w:hAnsi="Söhne Kräftig" w:cs="Arial"/>
                <w:strike/>
                <w:sz w:val="16"/>
                <w:szCs w:val="16"/>
                <w:lang w:val="en-IE"/>
              </w:rPr>
              <w:br/>
            </w:r>
            <w:r w:rsidRPr="00806349">
              <w:rPr>
                <w:rFonts w:ascii="Söhne Kräftig" w:hAnsi="Söhne Kräftig" w:cs="Arial"/>
                <w:sz w:val="16"/>
                <w:szCs w:val="16"/>
                <w:lang w:val="en-IE"/>
              </w:rPr>
              <w:t>PCR</w:t>
            </w:r>
          </w:p>
        </w:tc>
        <w:tc>
          <w:tcPr>
            <w:tcW w:w="992" w:type="dxa"/>
            <w:vAlign w:val="center"/>
          </w:tcPr>
          <w:p w14:paraId="40737FE7"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483" w:type="dxa"/>
            <w:vAlign w:val="center"/>
          </w:tcPr>
          <w:p w14:paraId="40737FE8" w14:textId="23803E7B" w:rsidR="001D593A" w:rsidRPr="00806349" w:rsidRDefault="00953FA1" w:rsidP="00AF7D31">
            <w:pPr>
              <w:pStyle w:val="Tabletext"/>
              <w:rPr>
                <w:rFonts w:ascii="Söhne" w:hAnsi="Söhne" w:cs="Times"/>
                <w:sz w:val="16"/>
                <w:szCs w:val="16"/>
              </w:rPr>
            </w:pPr>
            <w:r w:rsidRPr="00806349">
              <w:rPr>
                <w:rFonts w:ascii="Söhne" w:hAnsi="Söhne"/>
                <w:sz w:val="16"/>
                <w:szCs w:val="16"/>
                <w:u w:val="double"/>
              </w:rPr>
              <w:t>+</w:t>
            </w:r>
            <w:r w:rsidR="001D593A" w:rsidRPr="00806349">
              <w:rPr>
                <w:rFonts w:ascii="Söhne" w:hAnsi="Söhne"/>
                <w:sz w:val="16"/>
                <w:szCs w:val="16"/>
              </w:rPr>
              <w:t>+</w:t>
            </w:r>
          </w:p>
        </w:tc>
        <w:tc>
          <w:tcPr>
            <w:tcW w:w="1061" w:type="dxa"/>
            <w:vAlign w:val="center"/>
          </w:tcPr>
          <w:p w14:paraId="40737FE9"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134" w:type="dxa"/>
            <w:vAlign w:val="center"/>
          </w:tcPr>
          <w:p w14:paraId="40737FEA" w14:textId="755206E7" w:rsidR="001D593A" w:rsidRPr="00806349" w:rsidRDefault="00953FA1" w:rsidP="00AF7D31">
            <w:pPr>
              <w:pStyle w:val="Tabletext"/>
              <w:rPr>
                <w:rFonts w:ascii="Söhne" w:hAnsi="Söhne" w:cs="Times"/>
                <w:sz w:val="16"/>
                <w:szCs w:val="16"/>
              </w:rPr>
            </w:pPr>
            <w:r w:rsidRPr="00806349">
              <w:rPr>
                <w:rFonts w:ascii="Söhne" w:hAnsi="Söhne"/>
                <w:sz w:val="16"/>
                <w:szCs w:val="16"/>
                <w:u w:val="double"/>
              </w:rPr>
              <w:t>++</w:t>
            </w:r>
            <w:r w:rsidR="001D593A" w:rsidRPr="00806349">
              <w:rPr>
                <w:rFonts w:ascii="Söhne" w:hAnsi="Söhne"/>
                <w:sz w:val="16"/>
                <w:szCs w:val="16"/>
              </w:rPr>
              <w:t>+</w:t>
            </w:r>
          </w:p>
        </w:tc>
        <w:tc>
          <w:tcPr>
            <w:tcW w:w="1276" w:type="dxa"/>
            <w:vAlign w:val="center"/>
          </w:tcPr>
          <w:p w14:paraId="40737FEB" w14:textId="46B27316" w:rsidR="001D593A" w:rsidRPr="00806349" w:rsidRDefault="00F97C12" w:rsidP="00AF7D31">
            <w:pPr>
              <w:pStyle w:val="Tabletext"/>
              <w:rPr>
                <w:rFonts w:ascii="Söhne" w:hAnsi="Söhne" w:cs="Times"/>
                <w:sz w:val="16"/>
                <w:szCs w:val="16"/>
              </w:rPr>
            </w:pPr>
            <w:r w:rsidRPr="00806349">
              <w:rPr>
                <w:rFonts w:ascii="Söhne" w:hAnsi="Söhne"/>
                <w:strike/>
                <w:sz w:val="16"/>
                <w:szCs w:val="16"/>
              </w:rPr>
              <w:t xml:space="preserve">– </w:t>
            </w:r>
            <w:r w:rsidR="00953FA1" w:rsidRPr="00806349">
              <w:rPr>
                <w:rFonts w:ascii="Söhne" w:hAnsi="Söhne"/>
                <w:sz w:val="16"/>
                <w:szCs w:val="16"/>
                <w:u w:val="double"/>
              </w:rPr>
              <w:t>+</w:t>
            </w:r>
          </w:p>
        </w:tc>
        <w:tc>
          <w:tcPr>
            <w:tcW w:w="1701" w:type="dxa"/>
            <w:vAlign w:val="center"/>
          </w:tcPr>
          <w:p w14:paraId="40737FEC"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r>
      <w:tr w:rsidR="000C7E88" w:rsidRPr="00806349" w14:paraId="25B2960C" w14:textId="77777777" w:rsidTr="00016D4F">
        <w:trPr>
          <w:trHeight w:val="402"/>
          <w:jc w:val="center"/>
        </w:trPr>
        <w:tc>
          <w:tcPr>
            <w:tcW w:w="1555" w:type="dxa"/>
            <w:shd w:val="clear" w:color="auto" w:fill="auto"/>
          </w:tcPr>
          <w:p w14:paraId="699C735F" w14:textId="05AE33ED" w:rsidR="000C7E88" w:rsidRPr="00806349" w:rsidRDefault="000C7E88" w:rsidP="00657F0B">
            <w:pPr>
              <w:spacing w:before="120" w:after="120"/>
              <w:jc w:val="center"/>
              <w:rPr>
                <w:rFonts w:ascii="Söhne Kräftig" w:hAnsi="Söhne Kräftig" w:cs="Arial"/>
                <w:sz w:val="16"/>
                <w:szCs w:val="16"/>
                <w:u w:val="double"/>
                <w:lang w:val="en-IE"/>
              </w:rPr>
            </w:pPr>
            <w:r w:rsidRPr="00806349">
              <w:rPr>
                <w:rFonts w:ascii="Söhne Kräftig" w:hAnsi="Söhne Kräftig" w:cs="Arial"/>
                <w:sz w:val="16"/>
                <w:szCs w:val="16"/>
                <w:u w:val="double"/>
                <w:lang w:val="en-IE"/>
              </w:rPr>
              <w:t>Real</w:t>
            </w:r>
            <w:r w:rsidR="00322A95" w:rsidRPr="00806349">
              <w:rPr>
                <w:rFonts w:ascii="Söhne Kräftig" w:hAnsi="Söhne Kräftig" w:cs="Arial"/>
                <w:sz w:val="16"/>
                <w:szCs w:val="16"/>
                <w:u w:val="double"/>
                <w:lang w:val="en-IE"/>
              </w:rPr>
              <w:t>-</w:t>
            </w:r>
            <w:r w:rsidRPr="00806349">
              <w:rPr>
                <w:rFonts w:ascii="Söhne Kräftig" w:hAnsi="Söhne Kräftig" w:cs="Arial"/>
                <w:sz w:val="16"/>
                <w:szCs w:val="16"/>
                <w:u w:val="double"/>
                <w:lang w:val="en-IE"/>
              </w:rPr>
              <w:t>time PCR</w:t>
            </w:r>
          </w:p>
        </w:tc>
        <w:tc>
          <w:tcPr>
            <w:tcW w:w="992" w:type="dxa"/>
            <w:shd w:val="clear" w:color="auto" w:fill="auto"/>
            <w:vAlign w:val="center"/>
          </w:tcPr>
          <w:p w14:paraId="3203042A" w14:textId="6CCF9C93" w:rsidR="000C7E88" w:rsidRPr="00806349" w:rsidRDefault="00B5538B" w:rsidP="00AF7D31">
            <w:pPr>
              <w:pStyle w:val="Tabletext"/>
              <w:rPr>
                <w:rFonts w:ascii="Söhne" w:hAnsi="Söhne"/>
                <w:sz w:val="16"/>
                <w:szCs w:val="16"/>
                <w:u w:val="double"/>
              </w:rPr>
            </w:pPr>
            <w:r w:rsidRPr="00806349">
              <w:rPr>
                <w:rFonts w:ascii="Söhne" w:hAnsi="Söhne"/>
                <w:sz w:val="16"/>
                <w:szCs w:val="16"/>
                <w:u w:val="double"/>
              </w:rPr>
              <w:t>–</w:t>
            </w:r>
          </w:p>
        </w:tc>
        <w:tc>
          <w:tcPr>
            <w:tcW w:w="1483" w:type="dxa"/>
            <w:shd w:val="clear" w:color="auto" w:fill="auto"/>
            <w:vAlign w:val="center"/>
          </w:tcPr>
          <w:p w14:paraId="38C39461" w14:textId="1FF23499" w:rsidR="000C7E88" w:rsidRPr="00806349" w:rsidRDefault="004840F3" w:rsidP="00AF7D31">
            <w:pPr>
              <w:pStyle w:val="Tabletext"/>
              <w:rPr>
                <w:rFonts w:ascii="Söhne" w:hAnsi="Söhne"/>
                <w:sz w:val="16"/>
                <w:szCs w:val="16"/>
                <w:u w:val="double"/>
              </w:rPr>
            </w:pPr>
            <w:r w:rsidRPr="00806349">
              <w:rPr>
                <w:rFonts w:ascii="Söhne" w:hAnsi="Söhne"/>
                <w:sz w:val="16"/>
                <w:szCs w:val="16"/>
                <w:u w:val="double"/>
              </w:rPr>
              <w:t>++</w:t>
            </w:r>
          </w:p>
        </w:tc>
        <w:tc>
          <w:tcPr>
            <w:tcW w:w="1061" w:type="dxa"/>
            <w:shd w:val="clear" w:color="auto" w:fill="auto"/>
            <w:vAlign w:val="center"/>
          </w:tcPr>
          <w:p w14:paraId="42200DE7" w14:textId="3FE79794" w:rsidR="000C7E88" w:rsidRPr="00806349" w:rsidRDefault="00B5538B" w:rsidP="00AF7D31">
            <w:pPr>
              <w:pStyle w:val="Tabletext"/>
              <w:rPr>
                <w:rFonts w:ascii="Söhne" w:hAnsi="Söhne"/>
                <w:sz w:val="16"/>
                <w:szCs w:val="16"/>
                <w:u w:val="double"/>
              </w:rPr>
            </w:pPr>
            <w:r w:rsidRPr="00806349">
              <w:rPr>
                <w:rFonts w:ascii="Söhne" w:hAnsi="Söhne"/>
                <w:sz w:val="16"/>
                <w:szCs w:val="16"/>
                <w:u w:val="double"/>
              </w:rPr>
              <w:t>–</w:t>
            </w:r>
          </w:p>
        </w:tc>
        <w:tc>
          <w:tcPr>
            <w:tcW w:w="1134" w:type="dxa"/>
            <w:shd w:val="clear" w:color="auto" w:fill="auto"/>
            <w:vAlign w:val="center"/>
          </w:tcPr>
          <w:p w14:paraId="62C22764" w14:textId="06484E23" w:rsidR="000C7E88" w:rsidRPr="00806349" w:rsidRDefault="004840F3" w:rsidP="00AF7D31">
            <w:pPr>
              <w:pStyle w:val="Tabletext"/>
              <w:rPr>
                <w:rFonts w:ascii="Söhne" w:hAnsi="Söhne"/>
                <w:sz w:val="16"/>
                <w:szCs w:val="16"/>
                <w:u w:val="double"/>
              </w:rPr>
            </w:pPr>
            <w:r w:rsidRPr="00806349">
              <w:rPr>
                <w:rFonts w:ascii="Söhne" w:hAnsi="Söhne"/>
                <w:sz w:val="16"/>
                <w:szCs w:val="16"/>
                <w:u w:val="double"/>
              </w:rPr>
              <w:t>+++</w:t>
            </w:r>
          </w:p>
        </w:tc>
        <w:tc>
          <w:tcPr>
            <w:tcW w:w="1276" w:type="dxa"/>
            <w:shd w:val="clear" w:color="auto" w:fill="auto"/>
            <w:vAlign w:val="center"/>
          </w:tcPr>
          <w:p w14:paraId="4D6E0450" w14:textId="7C770C1D" w:rsidR="000C7E88" w:rsidRPr="00806349" w:rsidRDefault="00B5538B" w:rsidP="00AF7D31">
            <w:pPr>
              <w:pStyle w:val="Tabletext"/>
              <w:rPr>
                <w:rFonts w:ascii="Söhne" w:hAnsi="Söhne"/>
                <w:strike/>
                <w:sz w:val="16"/>
                <w:szCs w:val="16"/>
                <w:u w:val="double"/>
              </w:rPr>
            </w:pPr>
            <w:r w:rsidRPr="00806349">
              <w:rPr>
                <w:rFonts w:ascii="Söhne" w:hAnsi="Söhne"/>
                <w:strike/>
                <w:sz w:val="16"/>
                <w:szCs w:val="16"/>
                <w:u w:val="double"/>
              </w:rPr>
              <w:t>–</w:t>
            </w:r>
          </w:p>
        </w:tc>
        <w:tc>
          <w:tcPr>
            <w:tcW w:w="1701" w:type="dxa"/>
            <w:shd w:val="clear" w:color="auto" w:fill="auto"/>
            <w:vAlign w:val="center"/>
          </w:tcPr>
          <w:p w14:paraId="10A85ADD" w14:textId="59B44E4B" w:rsidR="000C7E88" w:rsidRPr="00806349" w:rsidRDefault="000455C7" w:rsidP="00AF7D31">
            <w:pPr>
              <w:pStyle w:val="Tabletext"/>
              <w:rPr>
                <w:rFonts w:ascii="Söhne" w:hAnsi="Söhne"/>
                <w:sz w:val="16"/>
                <w:szCs w:val="16"/>
                <w:u w:val="double"/>
              </w:rPr>
            </w:pPr>
            <w:r>
              <w:rPr>
                <w:rFonts w:ascii="Söhne" w:hAnsi="Söhne"/>
                <w:sz w:val="16"/>
                <w:szCs w:val="16"/>
                <w:u w:val="double"/>
              </w:rPr>
              <w:t>–</w:t>
            </w:r>
          </w:p>
        </w:tc>
      </w:tr>
      <w:tr w:rsidR="001D593A" w:rsidRPr="00806349" w14:paraId="40737FEF" w14:textId="77777777" w:rsidTr="000D47FC">
        <w:trPr>
          <w:trHeight w:val="402"/>
          <w:jc w:val="center"/>
        </w:trPr>
        <w:tc>
          <w:tcPr>
            <w:tcW w:w="9202" w:type="dxa"/>
            <w:gridSpan w:val="7"/>
            <w:shd w:val="pct10" w:color="auto" w:fill="auto"/>
          </w:tcPr>
          <w:p w14:paraId="40737FEE" w14:textId="4915FA82" w:rsidR="001D593A" w:rsidRPr="00806349" w:rsidRDefault="001D593A" w:rsidP="00A17C21">
            <w:pPr>
              <w:pStyle w:val="Tabletext"/>
              <w:rPr>
                <w:rFonts w:ascii="Söhne Kräftig" w:hAnsi="Söhne Kräftig" w:cs="Times"/>
                <w:sz w:val="16"/>
                <w:szCs w:val="16"/>
              </w:rPr>
            </w:pPr>
            <w:r w:rsidRPr="00806349">
              <w:rPr>
                <w:rFonts w:ascii="Söhne Kräftig" w:hAnsi="Söhne Kräftig"/>
                <w:sz w:val="16"/>
                <w:szCs w:val="16"/>
              </w:rPr>
              <w:t>Detection of immune response</w:t>
            </w:r>
          </w:p>
        </w:tc>
      </w:tr>
      <w:tr w:rsidR="001D593A" w:rsidRPr="00806349" w14:paraId="40737FF7" w14:textId="77777777" w:rsidTr="00016D4F">
        <w:trPr>
          <w:trHeight w:val="402"/>
          <w:jc w:val="center"/>
        </w:trPr>
        <w:tc>
          <w:tcPr>
            <w:tcW w:w="1555" w:type="dxa"/>
          </w:tcPr>
          <w:p w14:paraId="40737FF0" w14:textId="77777777" w:rsidR="001D593A" w:rsidRPr="00806349" w:rsidRDefault="001D593A" w:rsidP="00AF7D31">
            <w:pPr>
              <w:spacing w:before="120" w:after="120"/>
              <w:jc w:val="center"/>
              <w:rPr>
                <w:rFonts w:ascii="Söhne Kräftig" w:hAnsi="Söhne Kräftig" w:cs="Arial"/>
                <w:sz w:val="16"/>
                <w:szCs w:val="16"/>
                <w:lang w:val="en-IE"/>
              </w:rPr>
            </w:pPr>
            <w:r w:rsidRPr="00806349">
              <w:rPr>
                <w:rFonts w:ascii="Söhne Kräftig" w:hAnsi="Söhne Kräftig" w:cs="Arial"/>
                <w:sz w:val="16"/>
                <w:szCs w:val="16"/>
                <w:lang w:val="en-IE"/>
              </w:rPr>
              <w:t>AGID</w:t>
            </w:r>
          </w:p>
        </w:tc>
        <w:tc>
          <w:tcPr>
            <w:tcW w:w="992" w:type="dxa"/>
            <w:vAlign w:val="center"/>
          </w:tcPr>
          <w:p w14:paraId="40737FF1"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483" w:type="dxa"/>
            <w:vAlign w:val="center"/>
          </w:tcPr>
          <w:p w14:paraId="40737FF2"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061" w:type="dxa"/>
            <w:vAlign w:val="center"/>
          </w:tcPr>
          <w:p w14:paraId="40737FF3"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134" w:type="dxa"/>
            <w:vAlign w:val="center"/>
          </w:tcPr>
          <w:p w14:paraId="40737FF4"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276" w:type="dxa"/>
            <w:vAlign w:val="center"/>
          </w:tcPr>
          <w:p w14:paraId="40737FF5"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701" w:type="dxa"/>
            <w:vAlign w:val="center"/>
          </w:tcPr>
          <w:p w14:paraId="40737FF6"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r>
      <w:tr w:rsidR="001D593A" w:rsidRPr="00806349" w14:paraId="40737FFF" w14:textId="77777777" w:rsidTr="00016D4F">
        <w:trPr>
          <w:trHeight w:val="402"/>
          <w:jc w:val="center"/>
        </w:trPr>
        <w:tc>
          <w:tcPr>
            <w:tcW w:w="1555" w:type="dxa"/>
          </w:tcPr>
          <w:p w14:paraId="40737FF8" w14:textId="77777777" w:rsidR="001D593A" w:rsidRPr="00806349" w:rsidRDefault="001D593A" w:rsidP="00AF7D31">
            <w:pPr>
              <w:spacing w:before="120" w:after="120"/>
              <w:jc w:val="center"/>
              <w:rPr>
                <w:rFonts w:ascii="Söhne Kräftig" w:hAnsi="Söhne Kräftig" w:cs="Arial"/>
                <w:sz w:val="16"/>
                <w:szCs w:val="16"/>
                <w:lang w:val="en-IE"/>
              </w:rPr>
            </w:pPr>
            <w:r w:rsidRPr="00806349">
              <w:rPr>
                <w:rFonts w:ascii="Söhne Kräftig" w:hAnsi="Söhne Kräftig" w:cs="Arial"/>
                <w:sz w:val="16"/>
                <w:szCs w:val="16"/>
                <w:lang w:val="en-IE"/>
              </w:rPr>
              <w:t>ELISA</w:t>
            </w:r>
          </w:p>
        </w:tc>
        <w:tc>
          <w:tcPr>
            <w:tcW w:w="992" w:type="dxa"/>
            <w:vAlign w:val="center"/>
          </w:tcPr>
          <w:p w14:paraId="40737FF9" w14:textId="1D894C79" w:rsidR="001D593A" w:rsidRPr="00806349" w:rsidRDefault="00F97C12" w:rsidP="00AF7D31">
            <w:pPr>
              <w:pStyle w:val="Tabletext"/>
              <w:rPr>
                <w:rFonts w:ascii="Söhne" w:hAnsi="Söhne" w:cs="Times"/>
                <w:sz w:val="16"/>
                <w:szCs w:val="16"/>
                <w:u w:val="double"/>
              </w:rPr>
            </w:pPr>
            <w:r w:rsidRPr="00806349">
              <w:rPr>
                <w:rFonts w:ascii="Söhne" w:hAnsi="Söhne"/>
                <w:strike/>
                <w:sz w:val="16"/>
                <w:szCs w:val="16"/>
              </w:rPr>
              <w:t xml:space="preserve">– </w:t>
            </w:r>
            <w:r w:rsidR="004A5C3B" w:rsidRPr="00806349">
              <w:rPr>
                <w:rFonts w:ascii="Söhne" w:hAnsi="Söhne"/>
                <w:sz w:val="16"/>
                <w:szCs w:val="16"/>
                <w:u w:val="double"/>
              </w:rPr>
              <w:t>+++</w:t>
            </w:r>
            <w:r w:rsidRPr="00806349">
              <w:rPr>
                <w:rFonts w:ascii="Söhne" w:hAnsi="Söhne"/>
                <w:sz w:val="16"/>
                <w:szCs w:val="16"/>
              </w:rPr>
              <w:t xml:space="preserve"> </w:t>
            </w:r>
          </w:p>
        </w:tc>
        <w:tc>
          <w:tcPr>
            <w:tcW w:w="1483" w:type="dxa"/>
            <w:vAlign w:val="center"/>
          </w:tcPr>
          <w:p w14:paraId="40737FFA"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061" w:type="dxa"/>
            <w:vAlign w:val="center"/>
          </w:tcPr>
          <w:p w14:paraId="40737FFB"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134" w:type="dxa"/>
            <w:vAlign w:val="center"/>
          </w:tcPr>
          <w:p w14:paraId="40737FFC"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276" w:type="dxa"/>
            <w:vAlign w:val="center"/>
          </w:tcPr>
          <w:p w14:paraId="40737FFD"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701" w:type="dxa"/>
            <w:vAlign w:val="center"/>
          </w:tcPr>
          <w:p w14:paraId="40737FFE"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r>
      <w:tr w:rsidR="001D593A" w:rsidRPr="00806349" w14:paraId="40738007" w14:textId="77777777" w:rsidTr="00016D4F">
        <w:trPr>
          <w:trHeight w:val="402"/>
          <w:jc w:val="center"/>
        </w:trPr>
        <w:tc>
          <w:tcPr>
            <w:tcW w:w="1555" w:type="dxa"/>
          </w:tcPr>
          <w:p w14:paraId="40738000" w14:textId="06001D40" w:rsidR="001D593A" w:rsidRPr="00806349" w:rsidRDefault="001D593A" w:rsidP="00AF7D31">
            <w:pPr>
              <w:spacing w:before="120" w:after="120"/>
              <w:jc w:val="center"/>
              <w:rPr>
                <w:rFonts w:ascii="Söhne Kräftig" w:hAnsi="Söhne Kräftig" w:cs="Arial"/>
                <w:sz w:val="16"/>
                <w:szCs w:val="16"/>
                <w:lang w:val="en-IE"/>
              </w:rPr>
            </w:pPr>
            <w:r w:rsidRPr="00806349">
              <w:rPr>
                <w:rFonts w:ascii="Söhne Kräftig" w:hAnsi="Söhne Kräftig" w:cs="Arial"/>
                <w:strike/>
                <w:sz w:val="16"/>
                <w:szCs w:val="16"/>
                <w:lang w:val="en-IE"/>
              </w:rPr>
              <w:t>IFAT</w:t>
            </w:r>
            <w:r w:rsidR="00DC17C5" w:rsidRPr="00806349">
              <w:rPr>
                <w:rFonts w:ascii="Söhne Kräftig" w:hAnsi="Söhne Kräftig" w:cs="Arial"/>
                <w:strike/>
                <w:sz w:val="16"/>
                <w:szCs w:val="16"/>
                <w:lang w:val="en-IE"/>
              </w:rPr>
              <w:t xml:space="preserve"> </w:t>
            </w:r>
            <w:r w:rsidR="00953FA1" w:rsidRPr="00806349">
              <w:rPr>
                <w:rFonts w:ascii="Söhne Kräftig" w:hAnsi="Söhne Kräftig" w:cs="Arial"/>
                <w:sz w:val="16"/>
                <w:szCs w:val="16"/>
                <w:u w:val="double"/>
                <w:lang w:val="en-IE"/>
              </w:rPr>
              <w:t>VN</w:t>
            </w:r>
          </w:p>
        </w:tc>
        <w:tc>
          <w:tcPr>
            <w:tcW w:w="992" w:type="dxa"/>
            <w:vAlign w:val="center"/>
          </w:tcPr>
          <w:p w14:paraId="40738001"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483" w:type="dxa"/>
            <w:vAlign w:val="center"/>
          </w:tcPr>
          <w:p w14:paraId="40738002"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061" w:type="dxa"/>
            <w:vAlign w:val="center"/>
          </w:tcPr>
          <w:p w14:paraId="40738003"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134" w:type="dxa"/>
            <w:vAlign w:val="center"/>
          </w:tcPr>
          <w:p w14:paraId="40738004" w14:textId="5DC95529" w:rsidR="001D593A" w:rsidRPr="00806349" w:rsidRDefault="001D593A" w:rsidP="00AF7D31">
            <w:pPr>
              <w:pStyle w:val="Tabletext"/>
              <w:rPr>
                <w:rFonts w:ascii="Söhne" w:hAnsi="Söhne" w:cs="Times"/>
                <w:sz w:val="16"/>
                <w:szCs w:val="16"/>
              </w:rPr>
            </w:pPr>
            <w:r w:rsidRPr="00806349">
              <w:rPr>
                <w:rFonts w:ascii="Söhne" w:hAnsi="Söhne"/>
                <w:strike/>
                <w:sz w:val="16"/>
                <w:szCs w:val="16"/>
              </w:rPr>
              <w:t>+</w:t>
            </w:r>
            <w:r w:rsidR="00F97C12" w:rsidRPr="00806349">
              <w:rPr>
                <w:rFonts w:ascii="Söhne" w:hAnsi="Söhne"/>
                <w:strike/>
                <w:sz w:val="16"/>
                <w:szCs w:val="16"/>
              </w:rPr>
              <w:t xml:space="preserve"> </w:t>
            </w:r>
            <w:r w:rsidR="00D52B9D" w:rsidRPr="00806349">
              <w:rPr>
                <w:rFonts w:ascii="Söhne" w:hAnsi="Söhne"/>
                <w:sz w:val="16"/>
                <w:szCs w:val="16"/>
                <w:u w:val="double"/>
              </w:rPr>
              <w:t>–</w:t>
            </w:r>
          </w:p>
        </w:tc>
        <w:tc>
          <w:tcPr>
            <w:tcW w:w="1276" w:type="dxa"/>
            <w:vAlign w:val="center"/>
          </w:tcPr>
          <w:p w14:paraId="40738005" w14:textId="77777777" w:rsidR="001D593A" w:rsidRPr="00806349" w:rsidRDefault="001D593A" w:rsidP="00AF7D31">
            <w:pPr>
              <w:pStyle w:val="Tabletext"/>
              <w:rPr>
                <w:rFonts w:ascii="Söhne" w:hAnsi="Söhne" w:cs="Times"/>
                <w:sz w:val="16"/>
                <w:szCs w:val="16"/>
              </w:rPr>
            </w:pPr>
            <w:r w:rsidRPr="00806349">
              <w:rPr>
                <w:rFonts w:ascii="Söhne" w:hAnsi="Söhne"/>
                <w:sz w:val="16"/>
                <w:szCs w:val="16"/>
              </w:rPr>
              <w:t>–</w:t>
            </w:r>
          </w:p>
        </w:tc>
        <w:tc>
          <w:tcPr>
            <w:tcW w:w="1701" w:type="dxa"/>
            <w:vAlign w:val="center"/>
          </w:tcPr>
          <w:p w14:paraId="40738006" w14:textId="11106CA7" w:rsidR="001D593A" w:rsidRPr="00806349" w:rsidRDefault="00F97C12" w:rsidP="00AF7D31">
            <w:pPr>
              <w:pStyle w:val="Tabletext"/>
              <w:rPr>
                <w:rFonts w:ascii="Söhne" w:hAnsi="Söhne" w:cs="Times"/>
                <w:sz w:val="16"/>
                <w:szCs w:val="16"/>
              </w:rPr>
            </w:pPr>
            <w:r w:rsidRPr="00806349">
              <w:rPr>
                <w:rFonts w:ascii="Söhne" w:hAnsi="Söhne"/>
                <w:strike/>
                <w:sz w:val="16"/>
                <w:szCs w:val="16"/>
              </w:rPr>
              <w:t xml:space="preserve">– </w:t>
            </w:r>
            <w:r w:rsidRPr="00806349">
              <w:rPr>
                <w:rFonts w:ascii="Söhne" w:hAnsi="Söhne"/>
                <w:sz w:val="16"/>
                <w:szCs w:val="16"/>
                <w:u w:val="double"/>
              </w:rPr>
              <w:t>+++</w:t>
            </w:r>
          </w:p>
        </w:tc>
      </w:tr>
      <w:tr w:rsidR="000211F6" w:rsidRPr="00806349" w14:paraId="3E5C9B28" w14:textId="77777777" w:rsidTr="00016D4F">
        <w:trPr>
          <w:trHeight w:val="402"/>
          <w:jc w:val="center"/>
        </w:trPr>
        <w:tc>
          <w:tcPr>
            <w:tcW w:w="1555" w:type="dxa"/>
          </w:tcPr>
          <w:p w14:paraId="50ABC0DD" w14:textId="3771EC5A" w:rsidR="000211F6" w:rsidRPr="00806349" w:rsidRDefault="000211F6" w:rsidP="000211F6">
            <w:pPr>
              <w:spacing w:before="120" w:after="120"/>
              <w:jc w:val="center"/>
              <w:rPr>
                <w:rFonts w:ascii="Söhne Kräftig" w:hAnsi="Söhne Kräftig" w:cs="Arial"/>
                <w:sz w:val="16"/>
                <w:szCs w:val="16"/>
                <w:u w:val="double"/>
                <w:lang w:val="en-IE"/>
              </w:rPr>
            </w:pPr>
            <w:r w:rsidRPr="00806349">
              <w:rPr>
                <w:rFonts w:ascii="Söhne Kräftig" w:hAnsi="Söhne Kräftig" w:cs="Arial"/>
                <w:sz w:val="16"/>
                <w:szCs w:val="16"/>
                <w:u w:val="double"/>
                <w:lang w:val="en-IE"/>
              </w:rPr>
              <w:t>MFIA</w:t>
            </w:r>
          </w:p>
        </w:tc>
        <w:tc>
          <w:tcPr>
            <w:tcW w:w="992" w:type="dxa"/>
            <w:vAlign w:val="center"/>
          </w:tcPr>
          <w:p w14:paraId="6812C3A9" w14:textId="4B494F90" w:rsidR="000211F6" w:rsidRPr="00806349" w:rsidRDefault="000211F6" w:rsidP="00AF7D31">
            <w:pPr>
              <w:pStyle w:val="Tabletext"/>
              <w:rPr>
                <w:rFonts w:ascii="Söhne" w:hAnsi="Söhne"/>
                <w:sz w:val="16"/>
                <w:szCs w:val="16"/>
                <w:u w:val="double"/>
              </w:rPr>
            </w:pPr>
            <w:r w:rsidRPr="00806349">
              <w:rPr>
                <w:rFonts w:ascii="Söhne" w:hAnsi="Söhne"/>
                <w:sz w:val="16"/>
                <w:szCs w:val="16"/>
                <w:u w:val="double"/>
              </w:rPr>
              <w:t>+++</w:t>
            </w:r>
          </w:p>
        </w:tc>
        <w:tc>
          <w:tcPr>
            <w:tcW w:w="1483" w:type="dxa"/>
            <w:vAlign w:val="center"/>
          </w:tcPr>
          <w:p w14:paraId="32E92162" w14:textId="7504322D" w:rsidR="000211F6" w:rsidRPr="00806349" w:rsidRDefault="00B5538B" w:rsidP="00AF7D31">
            <w:pPr>
              <w:pStyle w:val="Tabletext"/>
              <w:rPr>
                <w:rFonts w:ascii="Söhne" w:hAnsi="Söhne"/>
                <w:sz w:val="16"/>
                <w:szCs w:val="16"/>
                <w:u w:val="double"/>
              </w:rPr>
            </w:pPr>
            <w:r w:rsidRPr="00806349">
              <w:rPr>
                <w:rFonts w:ascii="Söhne" w:hAnsi="Söhne"/>
                <w:sz w:val="16"/>
                <w:szCs w:val="16"/>
                <w:u w:val="double"/>
              </w:rPr>
              <w:t>–</w:t>
            </w:r>
          </w:p>
        </w:tc>
        <w:tc>
          <w:tcPr>
            <w:tcW w:w="1061" w:type="dxa"/>
            <w:vAlign w:val="center"/>
          </w:tcPr>
          <w:p w14:paraId="34B27129" w14:textId="7F7BA283" w:rsidR="000211F6" w:rsidRPr="00806349" w:rsidRDefault="00B5538B" w:rsidP="00AF7D31">
            <w:pPr>
              <w:pStyle w:val="Tabletext"/>
              <w:rPr>
                <w:rFonts w:ascii="Söhne" w:hAnsi="Söhne"/>
                <w:sz w:val="16"/>
                <w:szCs w:val="16"/>
                <w:u w:val="double"/>
              </w:rPr>
            </w:pPr>
            <w:r w:rsidRPr="00806349">
              <w:rPr>
                <w:rFonts w:ascii="Söhne" w:hAnsi="Söhne"/>
                <w:sz w:val="16"/>
                <w:szCs w:val="16"/>
                <w:u w:val="double"/>
              </w:rPr>
              <w:t>–</w:t>
            </w:r>
          </w:p>
        </w:tc>
        <w:tc>
          <w:tcPr>
            <w:tcW w:w="1134" w:type="dxa"/>
            <w:vAlign w:val="center"/>
          </w:tcPr>
          <w:p w14:paraId="3CAC1374" w14:textId="0FDF8F67" w:rsidR="000211F6" w:rsidRPr="00806349" w:rsidRDefault="000211F6" w:rsidP="00AF7D31">
            <w:pPr>
              <w:pStyle w:val="Tabletext"/>
              <w:rPr>
                <w:rFonts w:ascii="Söhne" w:hAnsi="Söhne"/>
                <w:strike/>
                <w:sz w:val="16"/>
                <w:szCs w:val="16"/>
                <w:u w:val="double"/>
              </w:rPr>
            </w:pPr>
            <w:r w:rsidRPr="00806349">
              <w:rPr>
                <w:rFonts w:ascii="Söhne" w:hAnsi="Söhne"/>
                <w:strike/>
                <w:sz w:val="16"/>
                <w:szCs w:val="16"/>
                <w:u w:val="double"/>
              </w:rPr>
              <w:t>_</w:t>
            </w:r>
          </w:p>
        </w:tc>
        <w:tc>
          <w:tcPr>
            <w:tcW w:w="1276" w:type="dxa"/>
            <w:vAlign w:val="center"/>
          </w:tcPr>
          <w:p w14:paraId="30730FA6" w14:textId="65D59FC5" w:rsidR="000211F6" w:rsidRPr="00806349" w:rsidRDefault="00B5538B" w:rsidP="00AF7D31">
            <w:pPr>
              <w:pStyle w:val="Tabletext"/>
              <w:rPr>
                <w:rFonts w:ascii="Söhne" w:hAnsi="Söhne"/>
                <w:sz w:val="16"/>
                <w:szCs w:val="16"/>
                <w:u w:val="double"/>
              </w:rPr>
            </w:pPr>
            <w:r w:rsidRPr="00806349">
              <w:rPr>
                <w:rFonts w:ascii="Söhne" w:hAnsi="Söhne"/>
                <w:sz w:val="16"/>
                <w:szCs w:val="16"/>
                <w:u w:val="double"/>
              </w:rPr>
              <w:t>–</w:t>
            </w:r>
          </w:p>
        </w:tc>
        <w:tc>
          <w:tcPr>
            <w:tcW w:w="1701" w:type="dxa"/>
            <w:vAlign w:val="center"/>
          </w:tcPr>
          <w:p w14:paraId="492C2A39" w14:textId="5DB2F8C7" w:rsidR="000211F6" w:rsidRPr="00806349" w:rsidRDefault="00B5538B" w:rsidP="00AF7D31">
            <w:pPr>
              <w:pStyle w:val="Tabletext"/>
              <w:rPr>
                <w:rFonts w:ascii="Söhne" w:hAnsi="Söhne"/>
                <w:sz w:val="16"/>
                <w:szCs w:val="16"/>
                <w:u w:val="double"/>
              </w:rPr>
            </w:pPr>
            <w:r w:rsidRPr="00806349">
              <w:rPr>
                <w:rFonts w:ascii="Söhne" w:hAnsi="Söhne"/>
                <w:sz w:val="16"/>
                <w:szCs w:val="16"/>
                <w:u w:val="double"/>
              </w:rPr>
              <w:t>–</w:t>
            </w:r>
          </w:p>
        </w:tc>
      </w:tr>
    </w:tbl>
    <w:p w14:paraId="40738009" w14:textId="1DCBE027" w:rsidR="001D593A" w:rsidRPr="00806349" w:rsidRDefault="000D47FC" w:rsidP="00D943AC">
      <w:pPr>
        <w:pStyle w:val="paraA"/>
        <w:spacing w:before="120"/>
        <w:jc w:val="center"/>
        <w:rPr>
          <w:color w:val="000000"/>
          <w:sz w:val="16"/>
          <w:szCs w:val="16"/>
          <w:lang w:val="en-IE"/>
        </w:rPr>
      </w:pPr>
      <w:r w:rsidRPr="00806349">
        <w:rPr>
          <w:color w:val="000000"/>
          <w:sz w:val="16"/>
          <w:szCs w:val="16"/>
          <w:lang w:val="en-IE"/>
        </w:rPr>
        <w:t xml:space="preserve">Key: +++ = recommended for this purpose; ++ recommended but has limitations; </w:t>
      </w:r>
      <w:r w:rsidRPr="00806349">
        <w:rPr>
          <w:color w:val="000000"/>
          <w:sz w:val="16"/>
          <w:szCs w:val="16"/>
          <w:lang w:val="en-IE"/>
        </w:rPr>
        <w:br/>
        <w:t>+ = suitable in very limited circumstances</w:t>
      </w:r>
      <w:r w:rsidRPr="00806349">
        <w:rPr>
          <w:sz w:val="16"/>
          <w:szCs w:val="16"/>
          <w:lang w:val="en-IE"/>
        </w:rPr>
        <w:t xml:space="preserve">; </w:t>
      </w:r>
      <w:r w:rsidRPr="00806349">
        <w:rPr>
          <w:color w:val="000000"/>
          <w:sz w:val="16"/>
          <w:szCs w:val="16"/>
          <w:lang w:val="en-IE"/>
        </w:rPr>
        <w:t>– = not appropriate for this purpose.</w:t>
      </w:r>
      <w:r w:rsidR="001D593A" w:rsidRPr="00806349">
        <w:rPr>
          <w:sz w:val="16"/>
          <w:szCs w:val="16"/>
          <w:lang w:val="en-IE"/>
        </w:rPr>
        <w:br/>
        <w:t xml:space="preserve">PCR = polymerase chain reaction; AGID = </w:t>
      </w:r>
      <w:r w:rsidR="00A47C72" w:rsidRPr="00806349">
        <w:rPr>
          <w:sz w:val="16"/>
          <w:szCs w:val="16"/>
          <w:lang w:val="en-IE"/>
        </w:rPr>
        <w:t xml:space="preserve">agar </w:t>
      </w:r>
      <w:r w:rsidR="001D593A" w:rsidRPr="00806349">
        <w:rPr>
          <w:sz w:val="16"/>
          <w:szCs w:val="16"/>
          <w:lang w:val="en-IE"/>
        </w:rPr>
        <w:t xml:space="preserve">gel immunodiffusion; </w:t>
      </w:r>
      <w:r w:rsidR="001D593A" w:rsidRPr="00806349">
        <w:rPr>
          <w:rFonts w:cs="Times"/>
          <w:sz w:val="16"/>
          <w:szCs w:val="16"/>
          <w:lang w:val="en-IE"/>
        </w:rPr>
        <w:br/>
      </w:r>
      <w:r w:rsidR="001D593A" w:rsidRPr="00806349">
        <w:rPr>
          <w:sz w:val="16"/>
          <w:szCs w:val="16"/>
          <w:lang w:val="en-IE"/>
        </w:rPr>
        <w:t xml:space="preserve">ELISA = enzyme-linked immunosorbent assay; </w:t>
      </w:r>
      <w:r w:rsidR="006B3736" w:rsidRPr="00806349">
        <w:rPr>
          <w:strike/>
          <w:sz w:val="16"/>
          <w:szCs w:val="16"/>
          <w:lang w:val="en-IE"/>
        </w:rPr>
        <w:t xml:space="preserve">IFAT = </w:t>
      </w:r>
      <w:bookmarkStart w:id="0" w:name="_Hlk83829544"/>
      <w:r w:rsidR="006B3736" w:rsidRPr="00806349">
        <w:rPr>
          <w:strike/>
          <w:sz w:val="16"/>
          <w:szCs w:val="16"/>
          <w:lang w:val="en-IE"/>
        </w:rPr>
        <w:t>indirect fluorescent antibody test</w:t>
      </w:r>
      <w:bookmarkEnd w:id="0"/>
      <w:r w:rsidR="006B3736" w:rsidRPr="00806349">
        <w:rPr>
          <w:strike/>
          <w:sz w:val="16"/>
          <w:szCs w:val="16"/>
          <w:lang w:val="en-IE"/>
        </w:rPr>
        <w:t xml:space="preserve">; </w:t>
      </w:r>
      <w:r w:rsidR="006B3736" w:rsidRPr="00806349">
        <w:rPr>
          <w:sz w:val="16"/>
          <w:szCs w:val="16"/>
          <w:u w:val="double"/>
          <w:lang w:val="en-IE"/>
        </w:rPr>
        <w:t xml:space="preserve">VN = virus neutralisation; </w:t>
      </w:r>
      <w:r w:rsidR="006C25C0">
        <w:rPr>
          <w:sz w:val="16"/>
          <w:szCs w:val="16"/>
          <w:u w:val="double"/>
          <w:lang w:val="en-IE"/>
        </w:rPr>
        <w:br/>
      </w:r>
      <w:r w:rsidR="00F03713">
        <w:rPr>
          <w:sz w:val="16"/>
          <w:szCs w:val="16"/>
          <w:u w:val="double"/>
          <w:lang w:val="en-IE"/>
        </w:rPr>
        <w:t xml:space="preserve">MIFI </w:t>
      </w:r>
      <w:r w:rsidR="000211F6" w:rsidRPr="00806349">
        <w:rPr>
          <w:sz w:val="16"/>
          <w:szCs w:val="16"/>
          <w:u w:val="double"/>
          <w:lang w:val="en-IE"/>
        </w:rPr>
        <w:t xml:space="preserve">= </w:t>
      </w:r>
      <w:r w:rsidR="006C25C0" w:rsidRPr="00806349">
        <w:rPr>
          <w:sz w:val="16"/>
          <w:szCs w:val="16"/>
          <w:u w:val="double"/>
          <w:lang w:val="en-IE"/>
        </w:rPr>
        <w:t xml:space="preserve">multiplex </w:t>
      </w:r>
      <w:r w:rsidR="000211F6" w:rsidRPr="00806349">
        <w:rPr>
          <w:sz w:val="16"/>
          <w:szCs w:val="16"/>
          <w:u w:val="double"/>
          <w:lang w:val="en-IE"/>
        </w:rPr>
        <w:t xml:space="preserve">fluorometric </w:t>
      </w:r>
      <w:r w:rsidR="00F03713">
        <w:rPr>
          <w:sz w:val="16"/>
          <w:szCs w:val="16"/>
          <w:u w:val="double"/>
          <w:lang w:val="en-IE"/>
        </w:rPr>
        <w:t xml:space="preserve">bead-based </w:t>
      </w:r>
      <w:r w:rsidR="000211F6" w:rsidRPr="00806349">
        <w:rPr>
          <w:sz w:val="16"/>
          <w:szCs w:val="16"/>
          <w:u w:val="double"/>
          <w:lang w:val="en-IE"/>
        </w:rPr>
        <w:t>immunoassay</w:t>
      </w:r>
      <w:r w:rsidR="006B3736" w:rsidRPr="00806349">
        <w:rPr>
          <w:sz w:val="16"/>
          <w:szCs w:val="16"/>
          <w:u w:val="double"/>
          <w:lang w:val="en-IE"/>
        </w:rPr>
        <w:t>.</w:t>
      </w:r>
    </w:p>
    <w:p w14:paraId="4073800A" w14:textId="5D24F8CE" w:rsidR="001D593A" w:rsidRPr="00806349" w:rsidRDefault="001D593A">
      <w:pPr>
        <w:pStyle w:val="1"/>
        <w:rPr>
          <w:lang w:val="en-IE"/>
        </w:rPr>
      </w:pPr>
      <w:r w:rsidRPr="00806349">
        <w:rPr>
          <w:lang w:val="en-IE"/>
        </w:rPr>
        <w:t>1.</w:t>
      </w:r>
      <w:r w:rsidRPr="00806349">
        <w:rPr>
          <w:lang w:val="en-IE"/>
        </w:rPr>
        <w:tab/>
      </w:r>
      <w:r w:rsidR="003931D1" w:rsidRPr="00806349">
        <w:rPr>
          <w:lang w:val="en-IE"/>
        </w:rPr>
        <w:t>Detection</w:t>
      </w:r>
      <w:r w:rsidRPr="00806349">
        <w:rPr>
          <w:lang w:val="en-IE"/>
        </w:rPr>
        <w:t xml:space="preserve"> of the agent</w:t>
      </w:r>
    </w:p>
    <w:p w14:paraId="4073800B" w14:textId="3B6E26BC" w:rsidR="001D593A" w:rsidRPr="00806349" w:rsidRDefault="00924880">
      <w:pPr>
        <w:pStyle w:val="para1"/>
        <w:rPr>
          <w:lang w:val="en-IE"/>
        </w:rPr>
      </w:pPr>
      <w:r w:rsidRPr="00806349">
        <w:rPr>
          <w:lang w:val="en-IE"/>
        </w:rPr>
        <w:t xml:space="preserve">FPV </w:t>
      </w:r>
      <w:r w:rsidR="001D593A" w:rsidRPr="00806349">
        <w:rPr>
          <w:lang w:val="en-IE"/>
        </w:rPr>
        <w:t xml:space="preserve">multiplies in the cytoplasm of epithelial cells with the formation of large intracytoplasmic inclusion bodies (Bollinger bodies) that contain smaller elementary bodies (Borrel bodies). The inclusions can be demonstrated in sections of cutaneous </w:t>
      </w:r>
      <w:r w:rsidR="001D593A" w:rsidRPr="00806349">
        <w:rPr>
          <w:lang w:val="en-IE"/>
        </w:rPr>
        <w:lastRenderedPageBreak/>
        <w:t xml:space="preserve">and diphtheritic lesions by the use of haematoxylin and eosin (H&amp;E), acridine orange or Giemsa </w:t>
      </w:r>
      <w:r w:rsidR="001D593A" w:rsidRPr="00806349">
        <w:rPr>
          <w:color w:val="000000"/>
          <w:lang w:val="en-IE"/>
        </w:rPr>
        <w:t xml:space="preserve">stains (Tripathy </w:t>
      </w:r>
      <w:r w:rsidR="001D593A" w:rsidRPr="00806349">
        <w:rPr>
          <w:i/>
          <w:iCs/>
          <w:color w:val="000000"/>
          <w:lang w:val="en-IE"/>
        </w:rPr>
        <w:t>et al</w:t>
      </w:r>
      <w:r w:rsidR="001D593A" w:rsidRPr="00806349">
        <w:rPr>
          <w:color w:val="000000"/>
          <w:lang w:val="en-IE"/>
        </w:rPr>
        <w:t>., 1973). The elementary bodies can be detected in smears from lesions, for example by the Gimenez method (Tripathy &amp; Hanson, 1976),</w:t>
      </w:r>
      <w:r w:rsidR="001D593A" w:rsidRPr="00806349">
        <w:rPr>
          <w:lang w:val="en-IE"/>
        </w:rPr>
        <w:t xml:space="preserve"> which is described below. Electron microscopy can be used to demonstrate viral particles of typical poxvirus morphology by negative staining or in ultrathin sections of infected tissues (Doane &amp; Anderson, 1987).</w:t>
      </w:r>
      <w:r w:rsidR="006B3736" w:rsidRPr="00806349">
        <w:rPr>
          <w:lang w:val="en-IE"/>
        </w:rPr>
        <w:t xml:space="preserve"> </w:t>
      </w:r>
      <w:r w:rsidR="000211F6" w:rsidRPr="00806349">
        <w:rPr>
          <w:u w:val="double"/>
          <w:lang w:val="en-IE"/>
        </w:rPr>
        <w:t xml:space="preserve">Molecular detection methods designed to amplify </w:t>
      </w:r>
      <w:r w:rsidRPr="00806349">
        <w:rPr>
          <w:u w:val="double"/>
          <w:lang w:val="en-IE"/>
        </w:rPr>
        <w:t xml:space="preserve">FPV </w:t>
      </w:r>
      <w:r w:rsidR="000211F6" w:rsidRPr="00806349">
        <w:rPr>
          <w:u w:val="double"/>
          <w:lang w:val="en-IE"/>
        </w:rPr>
        <w:t xml:space="preserve">DNA by </w:t>
      </w:r>
      <w:r w:rsidR="006B3736" w:rsidRPr="00806349">
        <w:rPr>
          <w:u w:val="double"/>
          <w:lang w:val="en-IE"/>
        </w:rPr>
        <w:t>polymerase chain reaction (</w:t>
      </w:r>
      <w:r w:rsidR="000211F6" w:rsidRPr="00806349">
        <w:rPr>
          <w:u w:val="double"/>
          <w:lang w:val="en-IE"/>
        </w:rPr>
        <w:t>PCR</w:t>
      </w:r>
      <w:r w:rsidR="006B3736" w:rsidRPr="00806349">
        <w:rPr>
          <w:u w:val="double"/>
          <w:lang w:val="en-IE"/>
        </w:rPr>
        <w:t>)</w:t>
      </w:r>
      <w:r w:rsidR="000211F6" w:rsidRPr="00806349">
        <w:rPr>
          <w:u w:val="double"/>
          <w:lang w:val="en-IE"/>
        </w:rPr>
        <w:t xml:space="preserve"> or real</w:t>
      </w:r>
      <w:r w:rsidR="006B3736" w:rsidRPr="00806349">
        <w:rPr>
          <w:u w:val="double"/>
          <w:lang w:val="en-IE"/>
        </w:rPr>
        <w:t>-</w:t>
      </w:r>
      <w:r w:rsidR="000211F6" w:rsidRPr="00806349">
        <w:rPr>
          <w:u w:val="double"/>
          <w:lang w:val="en-IE"/>
        </w:rPr>
        <w:t>time PCR have become routine in many avian diagnostic laboratories.</w:t>
      </w:r>
      <w:r w:rsidR="000211F6" w:rsidRPr="00806349">
        <w:rPr>
          <w:lang w:val="en-IE"/>
        </w:rPr>
        <w:t xml:space="preserve"> </w:t>
      </w:r>
    </w:p>
    <w:p w14:paraId="4073800C" w14:textId="1BDA7A9D" w:rsidR="001D593A" w:rsidRPr="00806349" w:rsidRDefault="001D593A" w:rsidP="00141805">
      <w:pPr>
        <w:pStyle w:val="11"/>
        <w:rPr>
          <w:lang w:val="en-IE"/>
        </w:rPr>
      </w:pPr>
      <w:r w:rsidRPr="00806349">
        <w:rPr>
          <w:lang w:val="en-IE"/>
        </w:rPr>
        <w:t>1.1.</w:t>
      </w:r>
      <w:r w:rsidRPr="00806349">
        <w:rPr>
          <w:lang w:val="en-IE"/>
        </w:rPr>
        <w:tab/>
        <w:t xml:space="preserve">A smear technique for </w:t>
      </w:r>
      <w:proofErr w:type="spellStart"/>
      <w:r w:rsidRPr="00806349">
        <w:rPr>
          <w:lang w:val="en-IE"/>
        </w:rPr>
        <w:t>fowlpox</w:t>
      </w:r>
      <w:proofErr w:type="spellEnd"/>
    </w:p>
    <w:p w14:paraId="4096C10C" w14:textId="16F2C703" w:rsidR="004362D9" w:rsidRPr="00806349" w:rsidRDefault="004362D9" w:rsidP="004362D9">
      <w:pPr>
        <w:pStyle w:val="111"/>
        <w:rPr>
          <w:u w:val="double"/>
          <w:lang w:val="en-IE"/>
        </w:rPr>
      </w:pPr>
      <w:r w:rsidRPr="00806349">
        <w:rPr>
          <w:u w:val="double"/>
          <w:lang w:val="en-IE"/>
        </w:rPr>
        <w:t>1.1.1.</w:t>
      </w:r>
      <w:r w:rsidRPr="00806349">
        <w:rPr>
          <w:u w:val="double"/>
          <w:lang w:val="en-IE"/>
        </w:rPr>
        <w:tab/>
        <w:t>Stock solutions</w:t>
      </w:r>
    </w:p>
    <w:p w14:paraId="7278B4E2" w14:textId="150CBE6D" w:rsidR="004362D9" w:rsidRPr="00806349" w:rsidRDefault="004362D9" w:rsidP="004362D9">
      <w:pPr>
        <w:pStyle w:val="i"/>
        <w:rPr>
          <w:u w:val="double"/>
          <w:lang w:val="en-IE"/>
        </w:rPr>
      </w:pPr>
      <w:r w:rsidRPr="00806349">
        <w:rPr>
          <w:u w:val="double"/>
          <w:lang w:val="en-IE"/>
        </w:rPr>
        <w:t>i)</w:t>
      </w:r>
      <w:r w:rsidRPr="00806349">
        <w:rPr>
          <w:u w:val="double"/>
          <w:lang w:val="en-IE"/>
        </w:rPr>
        <w:tab/>
      </w:r>
      <w:r w:rsidRPr="00806349">
        <w:rPr>
          <w:i/>
          <w:iCs/>
          <w:u w:val="double"/>
          <w:lang w:val="en-IE"/>
        </w:rPr>
        <w:t>Stock solution for primary stain:</w:t>
      </w:r>
      <w:r w:rsidRPr="00806349">
        <w:rPr>
          <w:u w:val="double"/>
          <w:lang w:val="en-IE"/>
        </w:rPr>
        <w:t xml:space="preserve"> a</w:t>
      </w:r>
      <w:r w:rsidRPr="00806349">
        <w:rPr>
          <w:u w:val="double"/>
        </w:rPr>
        <w:t xml:space="preserve"> solution of basic fuchsin (5 g) in 95% ethanol (100 ml) is slowly added to a second solution of crystalline phenol (10 g) in distilled water (900 ml). This stock solution, kept in a tightly screw-capped glass bottle, is incubated for 48 hours at 37°C, and then stored at room temperature</w:t>
      </w:r>
      <w:r w:rsidRPr="00806349">
        <w:rPr>
          <w:u w:val="double"/>
          <w:lang w:val="en-IE"/>
        </w:rPr>
        <w:t>.</w:t>
      </w:r>
    </w:p>
    <w:p w14:paraId="2F50EAB1" w14:textId="19770E20" w:rsidR="004362D9" w:rsidRPr="00806349" w:rsidRDefault="004362D9" w:rsidP="004362D9">
      <w:pPr>
        <w:pStyle w:val="i"/>
        <w:rPr>
          <w:u w:val="double"/>
          <w:lang w:val="en-IE"/>
        </w:rPr>
      </w:pPr>
      <w:r w:rsidRPr="00806349">
        <w:rPr>
          <w:u w:val="double"/>
          <w:lang w:val="en-IE"/>
        </w:rPr>
        <w:t>ii)</w:t>
      </w:r>
      <w:r w:rsidRPr="00806349">
        <w:rPr>
          <w:u w:val="double"/>
          <w:lang w:val="en-IE"/>
        </w:rPr>
        <w:tab/>
      </w:r>
      <w:r w:rsidRPr="00806349">
        <w:rPr>
          <w:i/>
          <w:iCs/>
          <w:u w:val="double"/>
        </w:rPr>
        <w:t>Phosphate buffer, pH 7.5:</w:t>
      </w:r>
      <w:r w:rsidRPr="00806349">
        <w:rPr>
          <w:u w:val="double"/>
        </w:rPr>
        <w:t xml:space="preserve"> NaH</w:t>
      </w:r>
      <w:r w:rsidRPr="00806349">
        <w:rPr>
          <w:u w:val="double"/>
          <w:vertAlign w:val="subscript"/>
        </w:rPr>
        <w:t>2</w:t>
      </w:r>
      <w:r w:rsidRPr="00806349">
        <w:rPr>
          <w:u w:val="double"/>
        </w:rPr>
        <w:t>PO</w:t>
      </w:r>
      <w:r w:rsidRPr="00806349">
        <w:rPr>
          <w:u w:val="double"/>
          <w:vertAlign w:val="subscript"/>
        </w:rPr>
        <w:t>4</w:t>
      </w:r>
      <w:r w:rsidRPr="00806349">
        <w:rPr>
          <w:u w:val="double"/>
        </w:rPr>
        <w:t>H</w:t>
      </w:r>
      <w:r w:rsidRPr="00806349">
        <w:rPr>
          <w:u w:val="double"/>
          <w:vertAlign w:val="subscript"/>
        </w:rPr>
        <w:t>2</w:t>
      </w:r>
      <w:r w:rsidRPr="00806349">
        <w:rPr>
          <w:u w:val="double"/>
        </w:rPr>
        <w:t>O (2.47 g) and Na</w:t>
      </w:r>
      <w:r w:rsidRPr="00806349">
        <w:rPr>
          <w:u w:val="double"/>
          <w:vertAlign w:val="subscript"/>
        </w:rPr>
        <w:t>2</w:t>
      </w:r>
      <w:r w:rsidRPr="00806349">
        <w:rPr>
          <w:u w:val="double"/>
        </w:rPr>
        <w:t>HPO</w:t>
      </w:r>
      <w:r w:rsidRPr="00806349">
        <w:rPr>
          <w:u w:val="double"/>
          <w:vertAlign w:val="subscript"/>
        </w:rPr>
        <w:t>4</w:t>
      </w:r>
      <w:r w:rsidRPr="00806349">
        <w:rPr>
          <w:u w:val="double"/>
        </w:rPr>
        <w:t xml:space="preserve"> (11.65 g) are added to distilled water (1000 ml) and stored at 4°C.</w:t>
      </w:r>
    </w:p>
    <w:p w14:paraId="4073800D" w14:textId="759028F5" w:rsidR="001D593A" w:rsidRPr="00806349" w:rsidRDefault="001D593A" w:rsidP="00AB6FFD">
      <w:pPr>
        <w:pStyle w:val="111"/>
        <w:rPr>
          <w:lang w:val="en-IE"/>
        </w:rPr>
      </w:pPr>
      <w:r w:rsidRPr="00806349">
        <w:rPr>
          <w:lang w:val="en-IE"/>
        </w:rPr>
        <w:t>1.1.</w:t>
      </w:r>
      <w:r w:rsidR="004362D9" w:rsidRPr="00806349">
        <w:rPr>
          <w:lang w:val="en-IE"/>
        </w:rPr>
        <w:t>2</w:t>
      </w:r>
      <w:r w:rsidRPr="00806349">
        <w:rPr>
          <w:lang w:val="en-IE"/>
        </w:rPr>
        <w:t>.</w:t>
      </w:r>
      <w:r w:rsidRPr="00806349">
        <w:rPr>
          <w:lang w:val="en-IE"/>
        </w:rPr>
        <w:tab/>
        <w:t>Test procedure</w:t>
      </w:r>
    </w:p>
    <w:p w14:paraId="4073800E" w14:textId="77777777" w:rsidR="001D593A" w:rsidRPr="00806349" w:rsidRDefault="001D593A">
      <w:pPr>
        <w:pStyle w:val="i"/>
        <w:rPr>
          <w:lang w:val="en-IE"/>
        </w:rPr>
      </w:pPr>
      <w:r w:rsidRPr="00806349">
        <w:rPr>
          <w:lang w:val="en-IE"/>
        </w:rPr>
        <w:t>i)</w:t>
      </w:r>
      <w:r w:rsidRPr="00806349">
        <w:rPr>
          <w:lang w:val="en-IE"/>
        </w:rPr>
        <w:tab/>
        <w:t>Place a drop of distilled water and the lesion (cutaneous or diphtheritic) on a clean slide. Prepare a thin smear by pressing the lesion with another clean slide and rotating the upper slide several times.</w:t>
      </w:r>
    </w:p>
    <w:p w14:paraId="4073800F" w14:textId="77777777" w:rsidR="001D593A" w:rsidRPr="00806349" w:rsidRDefault="001D593A">
      <w:pPr>
        <w:pStyle w:val="i"/>
        <w:rPr>
          <w:lang w:val="en-IE"/>
        </w:rPr>
      </w:pPr>
      <w:r w:rsidRPr="00806349">
        <w:rPr>
          <w:lang w:val="en-IE"/>
        </w:rPr>
        <w:t>ii)</w:t>
      </w:r>
      <w:r w:rsidRPr="00806349">
        <w:rPr>
          <w:lang w:val="en-IE"/>
        </w:rPr>
        <w:tab/>
        <w:t>Air dry and gently fix the smear over a flame.</w:t>
      </w:r>
    </w:p>
    <w:p w14:paraId="40738010" w14:textId="77777777" w:rsidR="001D593A" w:rsidRPr="00806349" w:rsidRDefault="001D593A">
      <w:pPr>
        <w:pStyle w:val="i"/>
        <w:rPr>
          <w:lang w:val="en-IE"/>
        </w:rPr>
      </w:pPr>
      <w:r w:rsidRPr="00806349">
        <w:rPr>
          <w:lang w:val="en-IE"/>
        </w:rPr>
        <w:t>iii)</w:t>
      </w:r>
      <w:r w:rsidRPr="00806349">
        <w:rPr>
          <w:lang w:val="en-IE"/>
        </w:rPr>
        <w:tab/>
        <w:t>Stain the smear for 5–10 minutes with freshly prepared primary stain (8 ml stock solution</w:t>
      </w:r>
      <w:r w:rsidRPr="00806349">
        <w:rPr>
          <w:rStyle w:val="FootnoteReference"/>
          <w:rFonts w:cs="Times"/>
          <w:strike/>
          <w:szCs w:val="14"/>
          <w:lang w:val="en-IE"/>
        </w:rPr>
        <w:footnoteReference w:id="3"/>
      </w:r>
      <w:r w:rsidRPr="00806349">
        <w:rPr>
          <w:strike/>
          <w:lang w:val="en-IE"/>
        </w:rPr>
        <w:t xml:space="preserve"> </w:t>
      </w:r>
      <w:r w:rsidRPr="00806349">
        <w:rPr>
          <w:lang w:val="en-IE"/>
        </w:rPr>
        <w:t>of basic fuchsin mixed with 10 ml of phosphate buffer</w:t>
      </w:r>
      <w:r w:rsidRPr="00806349">
        <w:rPr>
          <w:rStyle w:val="FootnoteReference"/>
          <w:rFonts w:cs="Times"/>
          <w:strike/>
          <w:szCs w:val="14"/>
          <w:lang w:val="en-IE"/>
        </w:rPr>
        <w:footnoteReference w:id="4"/>
      </w:r>
      <w:r w:rsidRPr="00806349">
        <w:rPr>
          <w:lang w:val="en-IE"/>
        </w:rPr>
        <w:t>, pH 7.5, and filtered through Whatman filter paper No. 1).</w:t>
      </w:r>
    </w:p>
    <w:p w14:paraId="40738011" w14:textId="77777777" w:rsidR="001D593A" w:rsidRPr="00806349" w:rsidRDefault="001D593A">
      <w:pPr>
        <w:pStyle w:val="i"/>
        <w:rPr>
          <w:lang w:val="en-IE"/>
        </w:rPr>
      </w:pPr>
      <w:r w:rsidRPr="00806349">
        <w:rPr>
          <w:lang w:val="en-IE"/>
        </w:rPr>
        <w:t>iv)</w:t>
      </w:r>
      <w:r w:rsidRPr="00806349">
        <w:rPr>
          <w:lang w:val="en-IE"/>
        </w:rPr>
        <w:tab/>
        <w:t>Wash thoroughly with tap water.</w:t>
      </w:r>
    </w:p>
    <w:p w14:paraId="40738012" w14:textId="1B475EDE" w:rsidR="001D593A" w:rsidRPr="00806349" w:rsidRDefault="001D593A">
      <w:pPr>
        <w:pStyle w:val="i"/>
        <w:rPr>
          <w:lang w:val="en-IE"/>
        </w:rPr>
      </w:pPr>
      <w:r w:rsidRPr="00806349">
        <w:rPr>
          <w:lang w:val="en-IE"/>
        </w:rPr>
        <w:t>v)</w:t>
      </w:r>
      <w:r w:rsidRPr="00806349">
        <w:rPr>
          <w:lang w:val="en-IE"/>
        </w:rPr>
        <w:tab/>
        <w:t>Counterstain with malachite green (0.8</w:t>
      </w:r>
      <w:r w:rsidR="00D16B0C" w:rsidRPr="00806349">
        <w:rPr>
          <w:lang w:val="en-IE"/>
        </w:rPr>
        <w:t>%</w:t>
      </w:r>
      <w:r w:rsidR="00DA438C">
        <w:rPr>
          <w:lang w:val="en-IE"/>
        </w:rPr>
        <w:t xml:space="preserve"> </w:t>
      </w:r>
      <w:r w:rsidR="00DA438C" w:rsidRPr="006C25C0">
        <w:rPr>
          <w:u w:val="double"/>
          <w:lang w:val="en-IE"/>
        </w:rPr>
        <w:t>[w/v]</w:t>
      </w:r>
      <w:r w:rsidRPr="00806349">
        <w:rPr>
          <w:lang w:val="en-IE"/>
        </w:rPr>
        <w:t xml:space="preserve"> in distilled water) for 30–60 seconds.</w:t>
      </w:r>
    </w:p>
    <w:p w14:paraId="40738013" w14:textId="77777777" w:rsidR="001D593A" w:rsidRPr="00806349" w:rsidRDefault="001D593A">
      <w:pPr>
        <w:pStyle w:val="i"/>
        <w:rPr>
          <w:lang w:val="en-IE"/>
        </w:rPr>
      </w:pPr>
      <w:r w:rsidRPr="00806349">
        <w:rPr>
          <w:lang w:val="en-IE"/>
        </w:rPr>
        <w:t>vi)</w:t>
      </w:r>
      <w:r w:rsidRPr="00806349">
        <w:rPr>
          <w:lang w:val="en-IE"/>
        </w:rPr>
        <w:tab/>
        <w:t>Wash the smear with tap water and then dry.</w:t>
      </w:r>
    </w:p>
    <w:p w14:paraId="40738014" w14:textId="77777777" w:rsidR="001D593A" w:rsidRPr="00806349" w:rsidRDefault="001D593A">
      <w:pPr>
        <w:pStyle w:val="i"/>
        <w:spacing w:after="240"/>
        <w:rPr>
          <w:lang w:val="en-IE"/>
        </w:rPr>
      </w:pPr>
      <w:r w:rsidRPr="00806349">
        <w:rPr>
          <w:lang w:val="en-IE"/>
        </w:rPr>
        <w:t>vii)</w:t>
      </w:r>
      <w:r w:rsidRPr="00806349">
        <w:rPr>
          <w:lang w:val="en-IE"/>
        </w:rPr>
        <w:tab/>
        <w:t>Examine the smear under oil immersion. The elementary bodies appear red and are approximately 0.2–0.3 µm in size.</w:t>
      </w:r>
    </w:p>
    <w:p w14:paraId="40738015" w14:textId="77777777" w:rsidR="001D593A" w:rsidRPr="00806349" w:rsidRDefault="001D593A" w:rsidP="0024300D">
      <w:pPr>
        <w:pStyle w:val="11"/>
        <w:rPr>
          <w:lang w:val="en-IE"/>
        </w:rPr>
      </w:pPr>
      <w:r w:rsidRPr="00806349">
        <w:rPr>
          <w:lang w:val="en-IE"/>
        </w:rPr>
        <w:t>1.2.</w:t>
      </w:r>
      <w:r w:rsidRPr="00806349">
        <w:rPr>
          <w:lang w:val="en-IE"/>
        </w:rPr>
        <w:tab/>
        <w:t>Virus isolation</w:t>
      </w:r>
    </w:p>
    <w:p w14:paraId="40738016" w14:textId="3D6A4A08" w:rsidR="001D593A" w:rsidRPr="00806349" w:rsidRDefault="00924880" w:rsidP="0024300D">
      <w:pPr>
        <w:pStyle w:val="11Para"/>
        <w:rPr>
          <w:color w:val="000000"/>
          <w:lang w:val="en-IE"/>
        </w:rPr>
      </w:pPr>
      <w:r w:rsidRPr="00806349">
        <w:rPr>
          <w:lang w:val="en-IE"/>
        </w:rPr>
        <w:t xml:space="preserve">FPV </w:t>
      </w:r>
      <w:r w:rsidR="001D593A" w:rsidRPr="00806349">
        <w:rPr>
          <w:lang w:val="en-IE"/>
        </w:rPr>
        <w:t>can be isolated by the inoculation of suspected material into embryonated chicken eggs or in cell cultures of avian origin. Approximately 0.1 ml of tissue suspension of skin or diphtheritic lesions, treated with the appropriate concentration of antibiotics, is inoculated on to the chorioallantoic membranes (CAMs) of 9- to 12-day-old developing chicken embryos or in cell culture. It is advisable to check the inoculum for any residual contamination by inoculation of a blood agar and McConkey plate examined 24 hours after incubation. Following inoculation of the embryos with the contamination free sample the eggs are incubated at 37°C for 5–7 days, and then examined for focal white pock lesions or generalised thickening of the CAMs. Histopathological examination of the CAM lesions will reveal eosinophilic intracytoplasmic inclusion bodies following staining with H&amp;</w:t>
      </w:r>
      <w:r w:rsidR="001D593A" w:rsidRPr="00806349">
        <w:rPr>
          <w:color w:val="000000"/>
          <w:lang w:val="en-IE"/>
        </w:rPr>
        <w:t xml:space="preserve">E (Tripathy </w:t>
      </w:r>
      <w:r w:rsidR="001D593A" w:rsidRPr="00806349">
        <w:rPr>
          <w:i/>
          <w:iCs/>
          <w:color w:val="000000"/>
          <w:lang w:val="en-IE"/>
        </w:rPr>
        <w:t>et al</w:t>
      </w:r>
      <w:r w:rsidR="001D593A" w:rsidRPr="00806349">
        <w:rPr>
          <w:color w:val="000000"/>
          <w:lang w:val="en-IE"/>
        </w:rPr>
        <w:t xml:space="preserve">., 1973; Tripathy &amp; Reed, </w:t>
      </w:r>
      <w:r w:rsidR="001D593A" w:rsidRPr="00806349">
        <w:rPr>
          <w:strike/>
          <w:color w:val="000000"/>
          <w:lang w:val="en-IE"/>
        </w:rPr>
        <w:t>2013</w:t>
      </w:r>
      <w:r w:rsidR="000D47FC" w:rsidRPr="00806349">
        <w:rPr>
          <w:strike/>
          <w:color w:val="000000"/>
          <w:lang w:val="en-IE"/>
        </w:rPr>
        <w:t xml:space="preserve"> </w:t>
      </w:r>
      <w:r w:rsidR="00F62F6C" w:rsidRPr="00806349">
        <w:rPr>
          <w:color w:val="000000"/>
          <w:u w:val="double"/>
          <w:lang w:val="en-IE"/>
        </w:rPr>
        <w:t>2020</w:t>
      </w:r>
      <w:r w:rsidR="001D593A" w:rsidRPr="00806349">
        <w:rPr>
          <w:color w:val="000000"/>
          <w:lang w:val="en-IE"/>
        </w:rPr>
        <w:t>).</w:t>
      </w:r>
    </w:p>
    <w:p w14:paraId="40738017" w14:textId="6998685B" w:rsidR="001D593A" w:rsidRPr="00806349" w:rsidRDefault="001D593A" w:rsidP="0024300D">
      <w:pPr>
        <w:pStyle w:val="11Para"/>
        <w:rPr>
          <w:lang w:val="en-IE"/>
        </w:rPr>
      </w:pPr>
      <w:r w:rsidRPr="00806349">
        <w:rPr>
          <w:lang w:val="en-IE"/>
        </w:rPr>
        <w:t xml:space="preserve">Primary chicken embryo fibroblasts, chicken embryo kidney cells, chicken embryo dermis cells, or the permanent quail cell line QT-35, can also be used to propagate </w:t>
      </w:r>
      <w:r w:rsidR="00924880" w:rsidRPr="00806349">
        <w:rPr>
          <w:lang w:val="en-IE"/>
        </w:rPr>
        <w:t xml:space="preserve">FPV </w:t>
      </w:r>
      <w:r w:rsidRPr="00806349">
        <w:rPr>
          <w:lang w:val="en-IE"/>
        </w:rPr>
        <w:t>(</w:t>
      </w:r>
      <w:proofErr w:type="spellStart"/>
      <w:r w:rsidRPr="00806349">
        <w:rPr>
          <w:lang w:val="en-IE"/>
        </w:rPr>
        <w:t>Ghildyal</w:t>
      </w:r>
      <w:proofErr w:type="spellEnd"/>
      <w:r w:rsidRPr="00806349">
        <w:rPr>
          <w:lang w:val="en-IE"/>
        </w:rPr>
        <w:t xml:space="preserve"> </w:t>
      </w:r>
      <w:r w:rsidRPr="00806349">
        <w:rPr>
          <w:i/>
          <w:iCs/>
          <w:lang w:val="en-IE"/>
        </w:rPr>
        <w:t>et al</w:t>
      </w:r>
      <w:r w:rsidRPr="00806349">
        <w:rPr>
          <w:lang w:val="en-IE"/>
        </w:rPr>
        <w:t xml:space="preserve">., 1989; </w:t>
      </w:r>
      <w:proofErr w:type="spellStart"/>
      <w:r w:rsidRPr="00806349">
        <w:rPr>
          <w:lang w:val="en-IE"/>
        </w:rPr>
        <w:t>Schnitzlein</w:t>
      </w:r>
      <w:proofErr w:type="spellEnd"/>
      <w:r w:rsidRPr="00806349">
        <w:rPr>
          <w:lang w:val="en-IE"/>
        </w:rPr>
        <w:t xml:space="preserve"> </w:t>
      </w:r>
      <w:r w:rsidRPr="00806349">
        <w:rPr>
          <w:i/>
          <w:iCs/>
          <w:lang w:val="en-IE"/>
        </w:rPr>
        <w:t>et al</w:t>
      </w:r>
      <w:r w:rsidRPr="00806349">
        <w:rPr>
          <w:lang w:val="en-IE"/>
        </w:rPr>
        <w:t xml:space="preserve">., 1988). The adaptation of virus strains </w:t>
      </w:r>
      <w:r w:rsidRPr="00806349">
        <w:rPr>
          <w:strike/>
          <w:lang w:val="en-IE"/>
        </w:rPr>
        <w:t xml:space="preserve">to </w:t>
      </w:r>
      <w:r w:rsidR="00890BE4" w:rsidRPr="00806349">
        <w:rPr>
          <w:u w:val="double"/>
          <w:lang w:val="en-IE"/>
        </w:rPr>
        <w:t>in</w:t>
      </w:r>
      <w:r w:rsidR="00890BE4" w:rsidRPr="00806349">
        <w:rPr>
          <w:lang w:val="en-IE"/>
        </w:rPr>
        <w:t xml:space="preserve"> </w:t>
      </w:r>
      <w:r w:rsidRPr="00806349">
        <w:rPr>
          <w:lang w:val="en-IE"/>
        </w:rPr>
        <w:t>cell cultures is an important requirement for plaque formation, as not all strains will form plaques initially.</w:t>
      </w:r>
    </w:p>
    <w:p w14:paraId="78CB6F7C" w14:textId="5F431CBA" w:rsidR="006652F3" w:rsidRDefault="001D593A" w:rsidP="00D57BE5">
      <w:pPr>
        <w:pStyle w:val="11"/>
        <w:rPr>
          <w:lang w:val="en-IE"/>
        </w:rPr>
      </w:pPr>
      <w:r w:rsidRPr="00806349">
        <w:rPr>
          <w:lang w:val="en-IE"/>
        </w:rPr>
        <w:t>1.3.</w:t>
      </w:r>
      <w:r w:rsidRPr="00806349">
        <w:rPr>
          <w:lang w:val="en-IE"/>
        </w:rPr>
        <w:tab/>
        <w:t>Molecular methods</w:t>
      </w:r>
    </w:p>
    <w:p w14:paraId="2CB1EA82" w14:textId="0E51DE92" w:rsidR="00BF2712" w:rsidRPr="00A47C72" w:rsidRDefault="00BF2712" w:rsidP="00A47C72">
      <w:pPr>
        <w:pStyle w:val="11Para"/>
        <w:rPr>
          <w:u w:val="double"/>
        </w:rPr>
      </w:pPr>
      <w:r w:rsidRPr="00A47C72">
        <w:rPr>
          <w:u w:val="double"/>
        </w:rPr>
        <w:t xml:space="preserve">Tracheas, tracheal swabs, skin lesions and formalin-fixed </w:t>
      </w:r>
      <w:r w:rsidR="00824B6E" w:rsidRPr="0033377B">
        <w:rPr>
          <w:highlight w:val="yellow"/>
          <w:u w:val="double"/>
        </w:rPr>
        <w:t>paraffin-embedded</w:t>
      </w:r>
      <w:r w:rsidR="0033377B">
        <w:rPr>
          <w:u w:val="double"/>
        </w:rPr>
        <w:t xml:space="preserve"> </w:t>
      </w:r>
      <w:r w:rsidRPr="00A47C72">
        <w:rPr>
          <w:u w:val="double"/>
        </w:rPr>
        <w:t xml:space="preserve">tissues are the best samples for PCR/real-time PCR (Tripathy &amp; Reed, 2020). </w:t>
      </w:r>
      <w:r w:rsidR="000D01C8" w:rsidRPr="00D00991">
        <w:rPr>
          <w:highlight w:val="yellow"/>
          <w:u w:val="double"/>
        </w:rPr>
        <w:t xml:space="preserve">However, prolonged fixation in formalin, especially unbuffered formalin, can reduce ability to detect nucleic acid of </w:t>
      </w:r>
      <w:proofErr w:type="spellStart"/>
      <w:r w:rsidR="000D01C8" w:rsidRPr="00D00991">
        <w:rPr>
          <w:highlight w:val="yellow"/>
          <w:u w:val="double"/>
        </w:rPr>
        <w:t>fowlpox</w:t>
      </w:r>
      <w:proofErr w:type="spellEnd"/>
      <w:r w:rsidR="000D01C8" w:rsidRPr="00D00991">
        <w:rPr>
          <w:highlight w:val="yellow"/>
          <w:u w:val="double"/>
        </w:rPr>
        <w:t xml:space="preserve"> virus and other pathogens (Crawford </w:t>
      </w:r>
      <w:r w:rsidR="000D01C8" w:rsidRPr="00E24D34">
        <w:rPr>
          <w:i/>
          <w:iCs/>
          <w:highlight w:val="yellow"/>
          <w:u w:val="double"/>
        </w:rPr>
        <w:t xml:space="preserve">et </w:t>
      </w:r>
      <w:r w:rsidR="00E24D34" w:rsidRPr="00E24D34">
        <w:rPr>
          <w:i/>
          <w:iCs/>
          <w:highlight w:val="yellow"/>
          <w:u w:val="double"/>
        </w:rPr>
        <w:t>a</w:t>
      </w:r>
      <w:r w:rsidR="000D01C8" w:rsidRPr="00E24D34">
        <w:rPr>
          <w:i/>
          <w:iCs/>
          <w:highlight w:val="yellow"/>
          <w:u w:val="double"/>
        </w:rPr>
        <w:t>l</w:t>
      </w:r>
      <w:r w:rsidR="00E24D34" w:rsidRPr="00E24D34">
        <w:rPr>
          <w:i/>
          <w:iCs/>
          <w:highlight w:val="yellow"/>
          <w:u w:val="double"/>
        </w:rPr>
        <w:t>.</w:t>
      </w:r>
      <w:r w:rsidR="000D01C8" w:rsidRPr="00E24D34">
        <w:rPr>
          <w:i/>
          <w:iCs/>
          <w:highlight w:val="yellow"/>
          <w:u w:val="double"/>
        </w:rPr>
        <w:t>,</w:t>
      </w:r>
      <w:r w:rsidR="000D01C8" w:rsidRPr="00D00991">
        <w:rPr>
          <w:highlight w:val="yellow"/>
          <w:u w:val="double"/>
        </w:rPr>
        <w:t xml:space="preserve"> 1999).</w:t>
      </w:r>
      <w:r w:rsidR="000D01C8">
        <w:rPr>
          <w:u w:val="double"/>
        </w:rPr>
        <w:t xml:space="preserve"> </w:t>
      </w:r>
      <w:r w:rsidRPr="00A47C72">
        <w:rPr>
          <w:u w:val="double"/>
        </w:rPr>
        <w:t xml:space="preserve">In addition, tissue impressions on commercially available cellulose paper cards can be used to collect and </w:t>
      </w:r>
      <w:r w:rsidRPr="00A47C72">
        <w:rPr>
          <w:u w:val="double"/>
        </w:rPr>
        <w:lastRenderedPageBreak/>
        <w:t>transport specimens while preserving the nucleic acid (Sanchez &amp; Sellers, 2015) and in the absence of maintaining the cold chain</w:t>
      </w:r>
      <w:r w:rsidR="00FD1DBA" w:rsidRPr="00A47C72">
        <w:rPr>
          <w:u w:val="double"/>
        </w:rPr>
        <w:t>.</w:t>
      </w:r>
    </w:p>
    <w:p w14:paraId="680D84AC" w14:textId="22C11FF5" w:rsidR="00517884" w:rsidRDefault="00380575" w:rsidP="006B3736">
      <w:pPr>
        <w:pStyle w:val="11Para"/>
        <w:rPr>
          <w:u w:val="double"/>
          <w:lang w:val="en-IE"/>
        </w:rPr>
      </w:pPr>
      <w:r w:rsidRPr="00806349">
        <w:rPr>
          <w:u w:val="double"/>
          <w:lang w:val="en-IE"/>
        </w:rPr>
        <w:t>PCR</w:t>
      </w:r>
      <w:r w:rsidR="006B3736" w:rsidRPr="00806349">
        <w:rPr>
          <w:u w:val="double"/>
          <w:lang w:val="en-IE"/>
        </w:rPr>
        <w:t>s</w:t>
      </w:r>
      <w:r w:rsidRPr="00806349">
        <w:rPr>
          <w:u w:val="double"/>
          <w:lang w:val="en-IE"/>
        </w:rPr>
        <w:t xml:space="preserve"> have </w:t>
      </w:r>
      <w:r w:rsidR="006A1EFA" w:rsidRPr="00806349">
        <w:rPr>
          <w:u w:val="double"/>
          <w:lang w:val="en-IE"/>
        </w:rPr>
        <w:t xml:space="preserve">been described for detection of </w:t>
      </w:r>
      <w:proofErr w:type="spellStart"/>
      <w:r w:rsidR="006A1EFA" w:rsidRPr="00806349">
        <w:rPr>
          <w:u w:val="double"/>
          <w:lang w:val="en-IE"/>
        </w:rPr>
        <w:t>fowlpox</w:t>
      </w:r>
      <w:proofErr w:type="spellEnd"/>
      <w:r w:rsidR="006A1EFA" w:rsidRPr="00806349">
        <w:rPr>
          <w:u w:val="double"/>
          <w:lang w:val="en-IE"/>
        </w:rPr>
        <w:t xml:space="preserve"> DNA</w:t>
      </w:r>
      <w:r w:rsidRPr="00806349">
        <w:rPr>
          <w:u w:val="double"/>
          <w:lang w:val="en-IE"/>
        </w:rPr>
        <w:t xml:space="preserve"> (</w:t>
      </w:r>
      <w:proofErr w:type="spellStart"/>
      <w:r w:rsidRPr="00806349">
        <w:rPr>
          <w:u w:val="double"/>
          <w:lang w:val="en-IE"/>
        </w:rPr>
        <w:t>Fallavena</w:t>
      </w:r>
      <w:proofErr w:type="spellEnd"/>
      <w:r w:rsidRPr="00806349">
        <w:rPr>
          <w:u w:val="double"/>
          <w:lang w:val="en-IE"/>
        </w:rPr>
        <w:t xml:space="preserve"> </w:t>
      </w:r>
      <w:r w:rsidRPr="00806349">
        <w:rPr>
          <w:i/>
          <w:iCs/>
          <w:u w:val="double"/>
          <w:lang w:val="en-IE"/>
        </w:rPr>
        <w:t>et al</w:t>
      </w:r>
      <w:r w:rsidRPr="00806349">
        <w:rPr>
          <w:u w:val="double"/>
          <w:lang w:val="en-IE"/>
        </w:rPr>
        <w:t>., 2002; Lee &amp; Lee, 1997)</w:t>
      </w:r>
      <w:r w:rsidR="0004767C" w:rsidRPr="00806349">
        <w:rPr>
          <w:u w:val="double"/>
          <w:lang w:val="en-IE"/>
        </w:rPr>
        <w:t xml:space="preserve"> and facilitate detection of the smallest amounts of </w:t>
      </w:r>
      <w:r w:rsidR="00596966" w:rsidRPr="00806349">
        <w:rPr>
          <w:u w:val="double"/>
          <w:lang w:val="en-IE"/>
        </w:rPr>
        <w:t>viral DNA</w:t>
      </w:r>
      <w:r w:rsidRPr="00806349">
        <w:rPr>
          <w:u w:val="double"/>
          <w:lang w:val="en-IE"/>
        </w:rPr>
        <w:t>. In addition, real</w:t>
      </w:r>
      <w:r w:rsidR="006B3736" w:rsidRPr="00806349">
        <w:rPr>
          <w:u w:val="double"/>
          <w:lang w:val="en-IE"/>
        </w:rPr>
        <w:t>-</w:t>
      </w:r>
      <w:r w:rsidRPr="00806349">
        <w:rPr>
          <w:u w:val="double"/>
          <w:lang w:val="en-IE"/>
        </w:rPr>
        <w:t xml:space="preserve">time PCR with </w:t>
      </w:r>
      <w:r w:rsidR="001E0E9C" w:rsidRPr="00806349">
        <w:rPr>
          <w:u w:val="double"/>
          <w:lang w:val="en-IE"/>
        </w:rPr>
        <w:t xml:space="preserve">a </w:t>
      </w:r>
      <w:r w:rsidR="008D12B2">
        <w:rPr>
          <w:u w:val="double"/>
          <w:lang w:val="en-IE"/>
        </w:rPr>
        <w:t>hydrolysis</w:t>
      </w:r>
      <w:r w:rsidR="008D12B2" w:rsidRPr="00806349">
        <w:rPr>
          <w:u w:val="double"/>
          <w:lang w:val="en-IE"/>
        </w:rPr>
        <w:t xml:space="preserve"> </w:t>
      </w:r>
      <w:r w:rsidRPr="00806349">
        <w:rPr>
          <w:u w:val="double"/>
          <w:lang w:val="en-IE"/>
        </w:rPr>
        <w:t>probe</w:t>
      </w:r>
      <w:r w:rsidR="001E0E9C" w:rsidRPr="00806349">
        <w:rPr>
          <w:u w:val="double"/>
          <w:lang w:val="en-IE"/>
        </w:rPr>
        <w:t xml:space="preserve"> is a</w:t>
      </w:r>
      <w:r w:rsidRPr="00806349">
        <w:rPr>
          <w:u w:val="double"/>
          <w:lang w:val="en-IE"/>
        </w:rPr>
        <w:t>lso u</w:t>
      </w:r>
      <w:r w:rsidR="006B3736" w:rsidRPr="00806349">
        <w:rPr>
          <w:u w:val="double"/>
          <w:lang w:val="en-IE"/>
        </w:rPr>
        <w:t>s</w:t>
      </w:r>
      <w:r w:rsidRPr="00806349">
        <w:rPr>
          <w:u w:val="double"/>
          <w:lang w:val="en-IE"/>
        </w:rPr>
        <w:t xml:space="preserve">ed to detect </w:t>
      </w:r>
      <w:proofErr w:type="spellStart"/>
      <w:r w:rsidRPr="00806349">
        <w:rPr>
          <w:u w:val="double"/>
          <w:lang w:val="en-IE"/>
        </w:rPr>
        <w:t>fowlpox</w:t>
      </w:r>
      <w:proofErr w:type="spellEnd"/>
      <w:r w:rsidR="001E0E9C" w:rsidRPr="00806349">
        <w:rPr>
          <w:u w:val="double"/>
          <w:lang w:val="en-IE"/>
        </w:rPr>
        <w:t xml:space="preserve"> </w:t>
      </w:r>
      <w:r w:rsidR="00E16435" w:rsidRPr="0033377B">
        <w:rPr>
          <w:highlight w:val="yellow"/>
          <w:u w:val="double"/>
          <w:lang w:val="en-IE"/>
        </w:rPr>
        <w:t>DNA</w:t>
      </w:r>
      <w:r w:rsidR="00E16435">
        <w:rPr>
          <w:u w:val="double"/>
          <w:lang w:val="en-IE"/>
        </w:rPr>
        <w:t xml:space="preserve"> </w:t>
      </w:r>
      <w:r w:rsidR="001E0E9C" w:rsidRPr="00806349">
        <w:rPr>
          <w:u w:val="double"/>
          <w:lang w:val="en-IE"/>
        </w:rPr>
        <w:t xml:space="preserve">(Hauck </w:t>
      </w:r>
      <w:r w:rsidR="001E0E9C" w:rsidRPr="00806349">
        <w:rPr>
          <w:i/>
          <w:iCs/>
          <w:u w:val="double"/>
          <w:lang w:val="en-IE"/>
        </w:rPr>
        <w:t>et al</w:t>
      </w:r>
      <w:r w:rsidR="006B3736" w:rsidRPr="00806349">
        <w:rPr>
          <w:i/>
          <w:iCs/>
          <w:u w:val="double"/>
          <w:lang w:val="en-IE"/>
        </w:rPr>
        <w:t>.</w:t>
      </w:r>
      <w:r w:rsidR="001E0E9C" w:rsidRPr="00806349">
        <w:rPr>
          <w:i/>
          <w:iCs/>
          <w:u w:val="double"/>
          <w:lang w:val="en-IE"/>
        </w:rPr>
        <w:t>,</w:t>
      </w:r>
      <w:r w:rsidR="001E0E9C" w:rsidRPr="00806349">
        <w:rPr>
          <w:u w:val="double"/>
          <w:lang w:val="en-IE"/>
        </w:rPr>
        <w:t xml:space="preserve"> 2009)</w:t>
      </w:r>
      <w:r w:rsidR="00BE6F13" w:rsidRPr="00806349">
        <w:rPr>
          <w:u w:val="double"/>
          <w:lang w:val="en-IE"/>
        </w:rPr>
        <w:t xml:space="preserve">. The use of </w:t>
      </w:r>
      <w:r w:rsidR="006B3736" w:rsidRPr="00806349">
        <w:rPr>
          <w:u w:val="double"/>
          <w:lang w:val="en-IE"/>
        </w:rPr>
        <w:t xml:space="preserve">real-time </w:t>
      </w:r>
      <w:r w:rsidR="00BE6F13" w:rsidRPr="00806349">
        <w:rPr>
          <w:u w:val="double"/>
          <w:lang w:val="en-IE"/>
        </w:rPr>
        <w:t xml:space="preserve">PCR has facilitated discrimination between </w:t>
      </w:r>
      <w:r w:rsidR="00924880" w:rsidRPr="00806349">
        <w:rPr>
          <w:u w:val="double"/>
          <w:lang w:val="en-IE"/>
        </w:rPr>
        <w:t xml:space="preserve">FPV </w:t>
      </w:r>
      <w:r w:rsidR="00BE6F13" w:rsidRPr="00806349">
        <w:rPr>
          <w:u w:val="double"/>
          <w:lang w:val="en-IE"/>
        </w:rPr>
        <w:t>and infectious laryngotracheitis virus (ILTV) in tissue</w:t>
      </w:r>
      <w:r w:rsidR="00276025" w:rsidRPr="00806349">
        <w:rPr>
          <w:u w:val="double"/>
          <w:lang w:val="en-IE"/>
        </w:rPr>
        <w:t>s</w:t>
      </w:r>
      <w:r w:rsidR="00BE6F13" w:rsidRPr="00806349">
        <w:rPr>
          <w:u w:val="double"/>
          <w:lang w:val="en-IE"/>
        </w:rPr>
        <w:t xml:space="preserve"> (Davidson </w:t>
      </w:r>
      <w:r w:rsidR="00BE6F13" w:rsidRPr="00806349">
        <w:rPr>
          <w:i/>
          <w:iCs/>
          <w:u w:val="double"/>
          <w:lang w:val="en-IE"/>
        </w:rPr>
        <w:t>et al.,</w:t>
      </w:r>
      <w:r w:rsidR="00BE6F13" w:rsidRPr="00806349">
        <w:rPr>
          <w:u w:val="double"/>
          <w:lang w:val="en-IE"/>
        </w:rPr>
        <w:t xml:space="preserve"> 2015), as well as </w:t>
      </w:r>
      <w:r w:rsidR="00276025" w:rsidRPr="00806349">
        <w:rPr>
          <w:u w:val="double"/>
          <w:lang w:val="en-IE"/>
        </w:rPr>
        <w:t>aid</w:t>
      </w:r>
      <w:r w:rsidR="00CC2F9B">
        <w:rPr>
          <w:u w:val="double"/>
          <w:lang w:val="en-IE"/>
        </w:rPr>
        <w:t>ing</w:t>
      </w:r>
      <w:r w:rsidR="00276025" w:rsidRPr="00806349">
        <w:rPr>
          <w:u w:val="double"/>
          <w:lang w:val="en-IE"/>
        </w:rPr>
        <w:t xml:space="preserve"> </w:t>
      </w:r>
      <w:r w:rsidR="008015EF">
        <w:rPr>
          <w:u w:val="double"/>
          <w:lang w:val="en-IE"/>
        </w:rPr>
        <w:t>the</w:t>
      </w:r>
      <w:r w:rsidR="00276025" w:rsidRPr="00806349">
        <w:rPr>
          <w:u w:val="double"/>
          <w:lang w:val="en-IE"/>
        </w:rPr>
        <w:t xml:space="preserve"> determin</w:t>
      </w:r>
      <w:r w:rsidR="008015EF">
        <w:rPr>
          <w:u w:val="double"/>
          <w:lang w:val="en-IE"/>
        </w:rPr>
        <w:t>ation</w:t>
      </w:r>
      <w:r w:rsidR="00E45D91">
        <w:rPr>
          <w:u w:val="double"/>
          <w:lang w:val="en-IE"/>
        </w:rPr>
        <w:t xml:space="preserve"> of</w:t>
      </w:r>
      <w:r w:rsidR="00BE6F13" w:rsidRPr="00806349">
        <w:rPr>
          <w:u w:val="double"/>
          <w:lang w:val="en-IE"/>
        </w:rPr>
        <w:t xml:space="preserve"> </w:t>
      </w:r>
      <w:proofErr w:type="spellStart"/>
      <w:r w:rsidR="00BE6F13" w:rsidRPr="00806349">
        <w:rPr>
          <w:u w:val="double"/>
          <w:lang w:val="en-IE"/>
        </w:rPr>
        <w:t>reticuloendotheliosis</w:t>
      </w:r>
      <w:proofErr w:type="spellEnd"/>
      <w:r w:rsidR="00BE6F13" w:rsidRPr="00806349">
        <w:rPr>
          <w:u w:val="double"/>
          <w:lang w:val="en-IE"/>
        </w:rPr>
        <w:t xml:space="preserve"> virus (REV) provirus in </w:t>
      </w:r>
      <w:r w:rsidR="00924880" w:rsidRPr="00806349">
        <w:rPr>
          <w:u w:val="double"/>
          <w:lang w:val="en-IE"/>
        </w:rPr>
        <w:t xml:space="preserve">FPVs </w:t>
      </w:r>
      <w:r w:rsidR="00BE6F13" w:rsidRPr="00806349">
        <w:rPr>
          <w:u w:val="double"/>
          <w:lang w:val="en-IE"/>
        </w:rPr>
        <w:t xml:space="preserve">(Hauck </w:t>
      </w:r>
      <w:r w:rsidR="00BE6F13" w:rsidRPr="00806349">
        <w:rPr>
          <w:i/>
          <w:iCs/>
          <w:u w:val="double"/>
          <w:lang w:val="en-IE"/>
        </w:rPr>
        <w:t>et al.,</w:t>
      </w:r>
      <w:r w:rsidR="00BE6F13" w:rsidRPr="00806349">
        <w:rPr>
          <w:u w:val="double"/>
          <w:lang w:val="en-IE"/>
        </w:rPr>
        <w:t xml:space="preserve"> 2009)</w:t>
      </w:r>
      <w:r w:rsidRPr="00806349">
        <w:rPr>
          <w:u w:val="double"/>
          <w:lang w:val="en-IE"/>
        </w:rPr>
        <w:t>.</w:t>
      </w:r>
      <w:r w:rsidR="00FA717F">
        <w:rPr>
          <w:u w:val="double"/>
          <w:lang w:val="en-IE"/>
        </w:rPr>
        <w:t xml:space="preserve"> </w:t>
      </w:r>
      <w:r w:rsidR="00737517">
        <w:rPr>
          <w:u w:val="double"/>
          <w:lang w:val="en-IE"/>
        </w:rPr>
        <w:t>Diagnostic PCR primers u</w:t>
      </w:r>
      <w:r w:rsidR="00A47C72">
        <w:rPr>
          <w:u w:val="double"/>
          <w:lang w:val="en-IE"/>
        </w:rPr>
        <w:t>s</w:t>
      </w:r>
      <w:r w:rsidR="00737517">
        <w:rPr>
          <w:u w:val="double"/>
          <w:lang w:val="en-IE"/>
        </w:rPr>
        <w:t>ed for d</w:t>
      </w:r>
      <w:r w:rsidR="005C0C54">
        <w:rPr>
          <w:u w:val="double"/>
          <w:lang w:val="en-IE"/>
        </w:rPr>
        <w:t xml:space="preserve">etection </w:t>
      </w:r>
      <w:r w:rsidR="00737517">
        <w:rPr>
          <w:u w:val="double"/>
          <w:lang w:val="en-IE"/>
        </w:rPr>
        <w:t xml:space="preserve">and phylogenetic analyses of </w:t>
      </w:r>
      <w:proofErr w:type="spellStart"/>
      <w:r w:rsidR="00737517">
        <w:rPr>
          <w:u w:val="double"/>
          <w:lang w:val="en-IE"/>
        </w:rPr>
        <w:t>fowlpox</w:t>
      </w:r>
      <w:proofErr w:type="spellEnd"/>
      <w:r w:rsidR="00737517">
        <w:rPr>
          <w:u w:val="double"/>
          <w:lang w:val="en-IE"/>
        </w:rPr>
        <w:t xml:space="preserve"> virus DNA target conserved regions of the major core protein, P4b.</w:t>
      </w:r>
      <w:r w:rsidR="00737517" w:rsidRPr="00A47C72">
        <w:rPr>
          <w:lang w:val="en-IE"/>
        </w:rPr>
        <w:t xml:space="preserve"> </w:t>
      </w:r>
      <w:r w:rsidR="00A47C72" w:rsidRPr="00A47C72">
        <w:rPr>
          <w:strike/>
          <w:lang w:val="en-IE"/>
        </w:rPr>
        <w:t>Restriction fragment length polymorphism (RFLP) analysis can be used for comparison of field isolates and vaccine strains of FPV (</w:t>
      </w:r>
      <w:proofErr w:type="spellStart"/>
      <w:r w:rsidR="00A47C72" w:rsidRPr="00A47C72">
        <w:rPr>
          <w:strike/>
          <w:lang w:val="en-IE"/>
        </w:rPr>
        <w:t>Ghildyal</w:t>
      </w:r>
      <w:proofErr w:type="spellEnd"/>
      <w:r w:rsidR="00A47C72" w:rsidRPr="00A47C72">
        <w:rPr>
          <w:strike/>
          <w:lang w:val="en-IE"/>
        </w:rPr>
        <w:t xml:space="preserve"> </w:t>
      </w:r>
      <w:r w:rsidR="00A47C72" w:rsidRPr="00A47C72">
        <w:rPr>
          <w:i/>
          <w:iCs/>
          <w:strike/>
          <w:lang w:val="en-IE"/>
        </w:rPr>
        <w:t>et al</w:t>
      </w:r>
      <w:r w:rsidR="00A47C72" w:rsidRPr="00A47C72">
        <w:rPr>
          <w:strike/>
          <w:lang w:val="en-IE"/>
        </w:rPr>
        <w:t xml:space="preserve">., 1989; </w:t>
      </w:r>
      <w:proofErr w:type="spellStart"/>
      <w:r w:rsidR="00A47C72" w:rsidRPr="00A47C72">
        <w:rPr>
          <w:strike/>
          <w:lang w:val="en-IE"/>
        </w:rPr>
        <w:t>Schnitzlein</w:t>
      </w:r>
      <w:proofErr w:type="spellEnd"/>
      <w:r w:rsidR="00A47C72" w:rsidRPr="00A47C72">
        <w:rPr>
          <w:strike/>
          <w:lang w:val="en-IE"/>
        </w:rPr>
        <w:t xml:space="preserve"> </w:t>
      </w:r>
      <w:r w:rsidR="00A47C72" w:rsidRPr="00A47C72">
        <w:rPr>
          <w:i/>
          <w:iCs/>
          <w:strike/>
          <w:lang w:val="en-IE"/>
        </w:rPr>
        <w:t>et al</w:t>
      </w:r>
      <w:r w:rsidR="00A47C72" w:rsidRPr="00A47C72">
        <w:rPr>
          <w:strike/>
          <w:lang w:val="en-IE"/>
        </w:rPr>
        <w:t>., 1988) however this procedure is not used in routine diagnosis.</w:t>
      </w:r>
    </w:p>
    <w:p w14:paraId="5EF2C43C" w14:textId="02BF493B" w:rsidR="004F2EBF" w:rsidRPr="00806349" w:rsidRDefault="004F2EBF" w:rsidP="004F2EBF">
      <w:pPr>
        <w:pStyle w:val="11Para"/>
        <w:rPr>
          <w:strike/>
        </w:rPr>
      </w:pPr>
      <w:r w:rsidRPr="00806349">
        <w:rPr>
          <w:strike/>
        </w:rPr>
        <w:t xml:space="preserve">Cloned genomic fragments of </w:t>
      </w:r>
      <w:proofErr w:type="spellStart"/>
      <w:r w:rsidRPr="00806349">
        <w:rPr>
          <w:strike/>
        </w:rPr>
        <w:t>fowlpox</w:t>
      </w:r>
      <w:proofErr w:type="spellEnd"/>
      <w:r w:rsidRPr="00806349">
        <w:rPr>
          <w:strike/>
        </w:rPr>
        <w:t xml:space="preserve"> virus can be used effectively as nucleic acid probes for diagnosis of </w:t>
      </w:r>
      <w:proofErr w:type="spellStart"/>
      <w:r w:rsidRPr="00806349">
        <w:rPr>
          <w:strike/>
        </w:rPr>
        <w:t>fowlpox</w:t>
      </w:r>
      <w:proofErr w:type="spellEnd"/>
      <w:r w:rsidRPr="00806349">
        <w:rPr>
          <w:strike/>
        </w:rPr>
        <w:t xml:space="preserve">. Viral DNA isolated from lesions can be detected by hybridisation either with radioactively or </w:t>
      </w:r>
      <w:proofErr w:type="spellStart"/>
      <w:r w:rsidRPr="00806349">
        <w:rPr>
          <w:strike/>
        </w:rPr>
        <w:t>nonradioactively</w:t>
      </w:r>
      <w:proofErr w:type="spellEnd"/>
      <w:r w:rsidRPr="00806349">
        <w:rPr>
          <w:strike/>
        </w:rPr>
        <w:t xml:space="preserve"> labelled genomic probes. This method is especially useful for differentiation of </w:t>
      </w:r>
      <w:proofErr w:type="spellStart"/>
      <w:r w:rsidRPr="00806349">
        <w:rPr>
          <w:strike/>
        </w:rPr>
        <w:t>fowlpox</w:t>
      </w:r>
      <w:proofErr w:type="spellEnd"/>
      <w:r w:rsidRPr="00806349">
        <w:rPr>
          <w:strike/>
        </w:rPr>
        <w:t xml:space="preserve"> from infectious laryngotracheitis when tracheal lesions are present (</w:t>
      </w:r>
      <w:proofErr w:type="spellStart"/>
      <w:r w:rsidR="00AC665B" w:rsidRPr="00806349">
        <w:rPr>
          <w:strike/>
        </w:rPr>
        <w:t>Fatunmbi</w:t>
      </w:r>
      <w:proofErr w:type="spellEnd"/>
      <w:r w:rsidR="00AC665B" w:rsidRPr="00806349">
        <w:rPr>
          <w:i/>
          <w:iCs/>
          <w:strike/>
        </w:rPr>
        <w:t xml:space="preserve"> </w:t>
      </w:r>
      <w:r w:rsidRPr="00806349">
        <w:rPr>
          <w:i/>
          <w:iCs/>
          <w:strike/>
        </w:rPr>
        <w:t>et al</w:t>
      </w:r>
      <w:r w:rsidRPr="00806349">
        <w:rPr>
          <w:strike/>
        </w:rPr>
        <w:t>., 1995).</w:t>
      </w:r>
    </w:p>
    <w:p w14:paraId="225F2B55" w14:textId="77777777" w:rsidR="004F2EBF" w:rsidRPr="00806349" w:rsidRDefault="004F2EBF" w:rsidP="004F2EBF">
      <w:pPr>
        <w:pStyle w:val="11Para"/>
        <w:rPr>
          <w:strike/>
        </w:rPr>
      </w:pPr>
      <w:r w:rsidRPr="00806349">
        <w:rPr>
          <w:strike/>
        </w:rPr>
        <w:t>Genomic DNA sequences of various sizes can be amplified by the polymerase chain reaction (PCR) using specific primers (</w:t>
      </w:r>
      <w:proofErr w:type="spellStart"/>
      <w:r w:rsidRPr="00806349">
        <w:rPr>
          <w:strike/>
        </w:rPr>
        <w:t>Fallavena</w:t>
      </w:r>
      <w:proofErr w:type="spellEnd"/>
      <w:r w:rsidRPr="00806349">
        <w:rPr>
          <w:strike/>
        </w:rPr>
        <w:t xml:space="preserve"> </w:t>
      </w:r>
      <w:r w:rsidRPr="00806349">
        <w:rPr>
          <w:i/>
          <w:iCs/>
          <w:strike/>
        </w:rPr>
        <w:t>et al</w:t>
      </w:r>
      <w:r w:rsidRPr="00806349">
        <w:rPr>
          <w:strike/>
        </w:rPr>
        <w:t xml:space="preserve">., 2002; Lee &amp; Lee, 1997). This technique is useful when there is only an extremely small amount of viral DNA in the sample. Genomic DNA isolated from the formalin-fixed tissue sections from cases that are positive for </w:t>
      </w:r>
      <w:proofErr w:type="spellStart"/>
      <w:r w:rsidRPr="00806349">
        <w:rPr>
          <w:strike/>
        </w:rPr>
        <w:t>fowlpox</w:t>
      </w:r>
      <w:proofErr w:type="spellEnd"/>
      <w:r w:rsidRPr="00806349">
        <w:rPr>
          <w:strike/>
        </w:rPr>
        <w:t xml:space="preserve"> (based upon presence of cytoplasmic inclusions) can be used for PCR amplification of the specific size genomic fragments. </w:t>
      </w:r>
    </w:p>
    <w:tbl>
      <w:tblPr>
        <w:tblW w:w="8898" w:type="dxa"/>
        <w:tblInd w:w="90"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993"/>
        <w:gridCol w:w="4929"/>
        <w:gridCol w:w="798"/>
      </w:tblGrid>
      <w:tr w:rsidR="007A2105" w:rsidRPr="00806349" w14:paraId="5C281C00" w14:textId="77777777" w:rsidTr="0082376C">
        <w:trPr>
          <w:trHeight w:val="319"/>
        </w:trPr>
        <w:tc>
          <w:tcPr>
            <w:tcW w:w="2178" w:type="dxa"/>
            <w:shd w:val="clear" w:color="auto" w:fill="auto"/>
            <w:noWrap/>
            <w:vAlign w:val="center"/>
          </w:tcPr>
          <w:p w14:paraId="0A8F74AB" w14:textId="549F9F7A" w:rsidR="007A2105" w:rsidRPr="0082376C" w:rsidRDefault="007A2105" w:rsidP="0082376C">
            <w:pPr>
              <w:spacing w:before="40" w:after="40"/>
              <w:jc w:val="center"/>
              <w:rPr>
                <w:rFonts w:ascii="Söhne" w:eastAsia="Times New Roman" w:hAnsi="Söhne" w:cs="Arial"/>
                <w:sz w:val="18"/>
                <w:szCs w:val="18"/>
                <w:u w:val="double"/>
                <w:lang w:val="fr-FR"/>
              </w:rPr>
            </w:pPr>
            <w:r w:rsidRPr="0082376C">
              <w:rPr>
                <w:rFonts w:ascii="Söhne" w:eastAsia="Times New Roman" w:hAnsi="Söhne" w:cs="Arial"/>
                <w:sz w:val="18"/>
                <w:szCs w:val="18"/>
                <w:u w:val="double"/>
                <w:lang w:val="fr-FR"/>
              </w:rPr>
              <w:t xml:space="preserve">4b </w:t>
            </w:r>
            <w:proofErr w:type="spellStart"/>
            <w:r w:rsidRPr="0082376C">
              <w:rPr>
                <w:rFonts w:ascii="Söhne" w:eastAsia="Times New Roman" w:hAnsi="Söhne" w:cs="Arial"/>
                <w:sz w:val="18"/>
                <w:szCs w:val="18"/>
                <w:u w:val="double"/>
                <w:lang w:val="fr-FR"/>
              </w:rPr>
              <w:t>core</w:t>
            </w:r>
            <w:proofErr w:type="spellEnd"/>
            <w:r w:rsidRPr="0082376C">
              <w:rPr>
                <w:rFonts w:ascii="Söhne" w:eastAsia="Times New Roman" w:hAnsi="Söhne" w:cs="Arial"/>
                <w:sz w:val="18"/>
                <w:szCs w:val="18"/>
                <w:u w:val="double"/>
                <w:lang w:val="fr-FR"/>
              </w:rPr>
              <w:t xml:space="preserve"> </w:t>
            </w:r>
            <w:proofErr w:type="spellStart"/>
            <w:r w:rsidRPr="0082376C">
              <w:rPr>
                <w:rFonts w:ascii="Söhne" w:eastAsia="Times New Roman" w:hAnsi="Söhne" w:cs="Arial"/>
                <w:sz w:val="18"/>
                <w:szCs w:val="18"/>
                <w:u w:val="double"/>
                <w:lang w:val="fr-FR"/>
              </w:rPr>
              <w:t>potein</w:t>
            </w:r>
            <w:proofErr w:type="spellEnd"/>
            <w:r w:rsidR="004F2EBF" w:rsidRPr="0082376C">
              <w:rPr>
                <w:rFonts w:ascii="Söhne" w:eastAsia="Times New Roman" w:hAnsi="Söhne" w:cs="Arial"/>
                <w:sz w:val="18"/>
                <w:szCs w:val="18"/>
                <w:u w:val="double"/>
                <w:lang w:val="fr-FR"/>
              </w:rPr>
              <w:br/>
            </w:r>
            <w:r w:rsidRPr="0082376C">
              <w:rPr>
                <w:rFonts w:ascii="Söhne" w:eastAsia="Times New Roman" w:hAnsi="Söhne" w:cs="Arial"/>
                <w:sz w:val="18"/>
                <w:szCs w:val="18"/>
                <w:u w:val="double"/>
                <w:lang w:val="fr-FR"/>
              </w:rPr>
              <w:t>(Lee &amp; Lee</w:t>
            </w:r>
            <w:r w:rsidR="00D51039" w:rsidRPr="0082376C">
              <w:rPr>
                <w:rFonts w:ascii="Söhne" w:eastAsia="Times New Roman" w:hAnsi="Söhne" w:cs="Arial"/>
                <w:sz w:val="18"/>
                <w:szCs w:val="18"/>
                <w:u w:val="double"/>
                <w:lang w:val="fr-FR"/>
              </w:rPr>
              <w:t>, 1997</w:t>
            </w:r>
            <w:r w:rsidRPr="0082376C">
              <w:rPr>
                <w:rFonts w:ascii="Söhne" w:eastAsia="Times New Roman" w:hAnsi="Söhne" w:cs="Arial"/>
                <w:sz w:val="18"/>
                <w:szCs w:val="18"/>
                <w:u w:val="double"/>
                <w:lang w:val="fr-FR"/>
              </w:rPr>
              <w:t>)</w:t>
            </w:r>
          </w:p>
        </w:tc>
        <w:tc>
          <w:tcPr>
            <w:tcW w:w="993" w:type="dxa"/>
            <w:shd w:val="clear" w:color="auto" w:fill="auto"/>
            <w:noWrap/>
            <w:vAlign w:val="center"/>
          </w:tcPr>
          <w:p w14:paraId="3C7B7294" w14:textId="6C1E7B74" w:rsidR="007A2105" w:rsidRPr="0082376C" w:rsidRDefault="007A2105" w:rsidP="0082376C">
            <w:pPr>
              <w:spacing w:before="40" w:after="40"/>
              <w:jc w:val="center"/>
              <w:rPr>
                <w:rFonts w:ascii="Söhne" w:eastAsia="Times New Roman" w:hAnsi="Söhne" w:cs="Arial"/>
                <w:sz w:val="18"/>
                <w:szCs w:val="18"/>
                <w:u w:val="double"/>
                <w:lang w:val="en-IE"/>
              </w:rPr>
            </w:pPr>
            <w:r w:rsidRPr="0082376C">
              <w:rPr>
                <w:rFonts w:ascii="Söhne" w:eastAsia="Times New Roman" w:hAnsi="Söhne" w:cs="Arial"/>
                <w:sz w:val="18"/>
                <w:szCs w:val="18"/>
                <w:u w:val="double"/>
                <w:lang w:val="en-IE"/>
              </w:rPr>
              <w:t>Forward</w:t>
            </w:r>
          </w:p>
        </w:tc>
        <w:tc>
          <w:tcPr>
            <w:tcW w:w="4929" w:type="dxa"/>
            <w:shd w:val="clear" w:color="auto" w:fill="auto"/>
            <w:noWrap/>
            <w:vAlign w:val="center"/>
          </w:tcPr>
          <w:p w14:paraId="66E762EB" w14:textId="2DBB280B" w:rsidR="007A2105" w:rsidRPr="0082376C" w:rsidRDefault="007A2105" w:rsidP="0082376C">
            <w:pPr>
              <w:spacing w:before="40" w:after="40"/>
              <w:jc w:val="center"/>
              <w:rPr>
                <w:rFonts w:ascii="Söhne" w:hAnsi="Söhne" w:cs="Arial"/>
                <w:caps/>
                <w:sz w:val="18"/>
                <w:szCs w:val="18"/>
                <w:u w:val="double"/>
                <w:lang w:eastAsia="en-US"/>
              </w:rPr>
            </w:pPr>
            <w:r w:rsidRPr="0082376C">
              <w:rPr>
                <w:rFonts w:ascii="Söhne" w:hAnsi="Söhne" w:cs="Arial"/>
                <w:caps/>
                <w:sz w:val="18"/>
                <w:szCs w:val="18"/>
                <w:u w:val="double"/>
                <w:lang w:eastAsia="en-US"/>
              </w:rPr>
              <w:t>5’-</w:t>
            </w:r>
            <w:r w:rsidRPr="0082376C">
              <w:rPr>
                <w:rFonts w:ascii="Söhne" w:hAnsi="Söhne" w:cs="Arial"/>
                <w:sz w:val="18"/>
                <w:szCs w:val="18"/>
                <w:u w:val="double"/>
              </w:rPr>
              <w:t>CAG</w:t>
            </w:r>
            <w:r w:rsidR="00355274" w:rsidRPr="0082376C">
              <w:rPr>
                <w:rFonts w:ascii="Söhne" w:hAnsi="Söhne" w:cs="Arial"/>
                <w:sz w:val="18"/>
                <w:szCs w:val="18"/>
                <w:u w:val="double"/>
              </w:rPr>
              <w:t>-</w:t>
            </w:r>
            <w:r w:rsidRPr="0082376C">
              <w:rPr>
                <w:rFonts w:ascii="Söhne" w:hAnsi="Söhne" w:cs="Arial"/>
                <w:sz w:val="18"/>
                <w:szCs w:val="18"/>
                <w:u w:val="double"/>
              </w:rPr>
              <w:t>CAG</w:t>
            </w:r>
            <w:r w:rsidR="00355274" w:rsidRPr="0082376C">
              <w:rPr>
                <w:rFonts w:ascii="Söhne" w:hAnsi="Söhne" w:cs="Arial"/>
                <w:sz w:val="18"/>
                <w:szCs w:val="18"/>
                <w:u w:val="double"/>
              </w:rPr>
              <w:t>-</w:t>
            </w:r>
            <w:r w:rsidRPr="0082376C">
              <w:rPr>
                <w:rFonts w:ascii="Söhne" w:hAnsi="Söhne" w:cs="Arial"/>
                <w:sz w:val="18"/>
                <w:szCs w:val="18"/>
                <w:u w:val="double"/>
              </w:rPr>
              <w:t>GTG</w:t>
            </w:r>
            <w:r w:rsidR="00355274" w:rsidRPr="0082376C">
              <w:rPr>
                <w:rFonts w:ascii="Söhne" w:hAnsi="Söhne" w:cs="Arial"/>
                <w:sz w:val="18"/>
                <w:szCs w:val="18"/>
                <w:u w:val="double"/>
              </w:rPr>
              <w:t>-</w:t>
            </w:r>
            <w:r w:rsidRPr="0082376C">
              <w:rPr>
                <w:rFonts w:ascii="Söhne" w:hAnsi="Söhne" w:cs="Arial"/>
                <w:sz w:val="18"/>
                <w:szCs w:val="18"/>
                <w:u w:val="double"/>
              </w:rPr>
              <w:t>CTA</w:t>
            </w:r>
            <w:r w:rsidR="00355274" w:rsidRPr="0082376C">
              <w:rPr>
                <w:rFonts w:ascii="Söhne" w:hAnsi="Söhne" w:cs="Arial"/>
                <w:sz w:val="18"/>
                <w:szCs w:val="18"/>
                <w:u w:val="double"/>
              </w:rPr>
              <w:t>-</w:t>
            </w:r>
            <w:r w:rsidRPr="0082376C">
              <w:rPr>
                <w:rFonts w:ascii="Söhne" w:hAnsi="Söhne" w:cs="Arial"/>
                <w:sz w:val="18"/>
                <w:szCs w:val="18"/>
                <w:u w:val="double"/>
              </w:rPr>
              <w:t>AAC</w:t>
            </w:r>
            <w:r w:rsidR="00355274" w:rsidRPr="0082376C">
              <w:rPr>
                <w:rFonts w:ascii="Söhne" w:hAnsi="Söhne" w:cs="Arial"/>
                <w:sz w:val="18"/>
                <w:szCs w:val="18"/>
                <w:u w:val="double"/>
              </w:rPr>
              <w:t>-</w:t>
            </w:r>
            <w:r w:rsidRPr="0082376C">
              <w:rPr>
                <w:rFonts w:ascii="Söhne" w:hAnsi="Söhne" w:cs="Arial"/>
                <w:sz w:val="18"/>
                <w:szCs w:val="18"/>
                <w:u w:val="double"/>
              </w:rPr>
              <w:t>AAC</w:t>
            </w:r>
            <w:r w:rsidR="00355274" w:rsidRPr="0082376C">
              <w:rPr>
                <w:rFonts w:ascii="Söhne" w:hAnsi="Söhne" w:cs="Arial"/>
                <w:sz w:val="18"/>
                <w:szCs w:val="18"/>
                <w:u w:val="double"/>
              </w:rPr>
              <w:t>-</w:t>
            </w:r>
            <w:r w:rsidRPr="0082376C">
              <w:rPr>
                <w:rFonts w:ascii="Söhne" w:hAnsi="Söhne" w:cs="Arial"/>
                <w:sz w:val="18"/>
                <w:szCs w:val="18"/>
                <w:u w:val="double"/>
              </w:rPr>
              <w:t>AA-3’</w:t>
            </w:r>
          </w:p>
        </w:tc>
        <w:tc>
          <w:tcPr>
            <w:tcW w:w="798" w:type="dxa"/>
            <w:shd w:val="clear" w:color="auto" w:fill="auto"/>
            <w:noWrap/>
            <w:vAlign w:val="center"/>
          </w:tcPr>
          <w:p w14:paraId="55CAB254" w14:textId="6442A079" w:rsidR="007A2105" w:rsidRPr="0082376C" w:rsidRDefault="007A2105" w:rsidP="0082376C">
            <w:pPr>
              <w:spacing w:before="40" w:after="40"/>
              <w:jc w:val="center"/>
              <w:rPr>
                <w:rFonts w:ascii="Söhne" w:eastAsia="Times New Roman" w:hAnsi="Söhne" w:cs="Arial"/>
                <w:sz w:val="18"/>
                <w:szCs w:val="18"/>
                <w:u w:val="double"/>
                <w:lang w:val="en-IE"/>
              </w:rPr>
            </w:pPr>
            <w:r w:rsidRPr="0082376C">
              <w:rPr>
                <w:rFonts w:ascii="Söhne" w:eastAsia="Times New Roman" w:hAnsi="Söhne" w:cs="Arial"/>
                <w:sz w:val="18"/>
                <w:szCs w:val="18"/>
                <w:u w:val="double"/>
                <w:lang w:val="en-IE"/>
              </w:rPr>
              <w:t>578 bp</w:t>
            </w:r>
          </w:p>
        </w:tc>
      </w:tr>
      <w:tr w:rsidR="007A2105" w:rsidRPr="00806349" w14:paraId="5F7AEF31" w14:textId="77777777" w:rsidTr="0082376C">
        <w:trPr>
          <w:trHeight w:val="270"/>
        </w:trPr>
        <w:tc>
          <w:tcPr>
            <w:tcW w:w="2178" w:type="dxa"/>
            <w:shd w:val="clear" w:color="auto" w:fill="auto"/>
            <w:noWrap/>
            <w:vAlign w:val="center"/>
          </w:tcPr>
          <w:p w14:paraId="09C723E4" w14:textId="77777777" w:rsidR="007A2105" w:rsidRPr="0082376C" w:rsidRDefault="007A2105" w:rsidP="0082376C">
            <w:pPr>
              <w:spacing w:before="40" w:after="40"/>
              <w:jc w:val="center"/>
              <w:rPr>
                <w:rFonts w:ascii="Söhne" w:eastAsia="Times New Roman" w:hAnsi="Söhne" w:cs="Arial"/>
                <w:sz w:val="18"/>
                <w:szCs w:val="18"/>
                <w:u w:val="double"/>
                <w:lang w:val="en-IE"/>
              </w:rPr>
            </w:pPr>
          </w:p>
        </w:tc>
        <w:tc>
          <w:tcPr>
            <w:tcW w:w="993" w:type="dxa"/>
            <w:shd w:val="clear" w:color="auto" w:fill="auto"/>
            <w:noWrap/>
            <w:vAlign w:val="center"/>
          </w:tcPr>
          <w:p w14:paraId="37B886EB" w14:textId="49CAD5F5" w:rsidR="007A2105" w:rsidRPr="0082376C" w:rsidRDefault="007A2105" w:rsidP="0082376C">
            <w:pPr>
              <w:spacing w:before="40" w:after="40"/>
              <w:jc w:val="center"/>
              <w:rPr>
                <w:rFonts w:ascii="Söhne" w:eastAsia="Times New Roman" w:hAnsi="Söhne" w:cs="Arial"/>
                <w:sz w:val="18"/>
                <w:szCs w:val="18"/>
                <w:u w:val="double"/>
                <w:lang w:val="en-IE"/>
              </w:rPr>
            </w:pPr>
            <w:r w:rsidRPr="0082376C">
              <w:rPr>
                <w:rFonts w:ascii="Söhne" w:eastAsia="Times New Roman" w:hAnsi="Söhne" w:cs="Arial"/>
                <w:sz w:val="18"/>
                <w:szCs w:val="18"/>
                <w:u w:val="double"/>
                <w:lang w:val="en-IE"/>
              </w:rPr>
              <w:t>Reverse</w:t>
            </w:r>
          </w:p>
        </w:tc>
        <w:tc>
          <w:tcPr>
            <w:tcW w:w="4929" w:type="dxa"/>
            <w:shd w:val="clear" w:color="auto" w:fill="auto"/>
            <w:noWrap/>
            <w:vAlign w:val="center"/>
          </w:tcPr>
          <w:p w14:paraId="3D1CBBD7" w14:textId="0FCEE7B3" w:rsidR="007A2105" w:rsidRPr="0082376C" w:rsidRDefault="007A2105" w:rsidP="0082376C">
            <w:pPr>
              <w:spacing w:before="40" w:after="40"/>
              <w:jc w:val="center"/>
              <w:rPr>
                <w:rFonts w:ascii="Söhne" w:hAnsi="Söhne" w:cs="Arial"/>
                <w:caps/>
                <w:sz w:val="18"/>
                <w:szCs w:val="18"/>
                <w:u w:val="double"/>
                <w:lang w:eastAsia="en-US"/>
              </w:rPr>
            </w:pPr>
            <w:r w:rsidRPr="0082376C">
              <w:rPr>
                <w:rFonts w:ascii="Söhne" w:hAnsi="Söhne" w:cs="Arial"/>
                <w:caps/>
                <w:sz w:val="18"/>
                <w:szCs w:val="18"/>
                <w:u w:val="double"/>
                <w:lang w:eastAsia="en-US"/>
              </w:rPr>
              <w:t>5’-</w:t>
            </w:r>
            <w:r w:rsidRPr="0082376C">
              <w:rPr>
                <w:rFonts w:ascii="Söhne" w:hAnsi="Söhne" w:cs="Arial"/>
                <w:sz w:val="18"/>
                <w:szCs w:val="18"/>
                <w:u w:val="double"/>
              </w:rPr>
              <w:t>CGG</w:t>
            </w:r>
            <w:r w:rsidR="00355274" w:rsidRPr="0082376C">
              <w:rPr>
                <w:rFonts w:ascii="Söhne" w:hAnsi="Söhne" w:cs="Arial"/>
                <w:sz w:val="18"/>
                <w:szCs w:val="18"/>
                <w:u w:val="double"/>
              </w:rPr>
              <w:t>-</w:t>
            </w:r>
            <w:r w:rsidRPr="0082376C">
              <w:rPr>
                <w:rFonts w:ascii="Söhne" w:hAnsi="Söhne" w:cs="Arial"/>
                <w:sz w:val="18"/>
                <w:szCs w:val="18"/>
                <w:u w:val="double"/>
              </w:rPr>
              <w:t>TAG</w:t>
            </w:r>
            <w:r w:rsidR="00355274" w:rsidRPr="0082376C">
              <w:rPr>
                <w:rFonts w:ascii="Söhne" w:hAnsi="Söhne" w:cs="Arial"/>
                <w:sz w:val="18"/>
                <w:szCs w:val="18"/>
                <w:u w:val="double"/>
              </w:rPr>
              <w:t>-</w:t>
            </w:r>
            <w:r w:rsidRPr="0082376C">
              <w:rPr>
                <w:rFonts w:ascii="Söhne" w:hAnsi="Söhne" w:cs="Arial"/>
                <w:sz w:val="18"/>
                <w:szCs w:val="18"/>
                <w:u w:val="double"/>
              </w:rPr>
              <w:t>CTT</w:t>
            </w:r>
            <w:r w:rsidR="00355274" w:rsidRPr="0082376C">
              <w:rPr>
                <w:rFonts w:ascii="Söhne" w:hAnsi="Söhne" w:cs="Arial"/>
                <w:sz w:val="18"/>
                <w:szCs w:val="18"/>
                <w:u w:val="double"/>
              </w:rPr>
              <w:t>-</w:t>
            </w:r>
            <w:r w:rsidRPr="0082376C">
              <w:rPr>
                <w:rFonts w:ascii="Söhne" w:hAnsi="Söhne" w:cs="Arial"/>
                <w:sz w:val="18"/>
                <w:szCs w:val="18"/>
                <w:u w:val="double"/>
              </w:rPr>
              <w:t>AAC</w:t>
            </w:r>
            <w:r w:rsidR="00355274" w:rsidRPr="0082376C">
              <w:rPr>
                <w:rFonts w:ascii="Söhne" w:hAnsi="Söhne" w:cs="Arial"/>
                <w:sz w:val="18"/>
                <w:szCs w:val="18"/>
                <w:u w:val="double"/>
              </w:rPr>
              <w:t>-</w:t>
            </w:r>
            <w:r w:rsidRPr="0082376C">
              <w:rPr>
                <w:rFonts w:ascii="Söhne" w:hAnsi="Söhne" w:cs="Arial"/>
                <w:sz w:val="18"/>
                <w:szCs w:val="18"/>
                <w:u w:val="double"/>
              </w:rPr>
              <w:t>GCC</w:t>
            </w:r>
            <w:r w:rsidR="00355274" w:rsidRPr="0082376C">
              <w:rPr>
                <w:rFonts w:ascii="Söhne" w:hAnsi="Söhne" w:cs="Arial"/>
                <w:sz w:val="18"/>
                <w:szCs w:val="18"/>
                <w:u w:val="double"/>
              </w:rPr>
              <w:t>-</w:t>
            </w:r>
            <w:r w:rsidRPr="0082376C">
              <w:rPr>
                <w:rFonts w:ascii="Söhne" w:hAnsi="Söhne" w:cs="Arial"/>
                <w:sz w:val="18"/>
                <w:szCs w:val="18"/>
                <w:u w:val="double"/>
              </w:rPr>
              <w:t>GAA</w:t>
            </w:r>
            <w:r w:rsidR="00355274" w:rsidRPr="0082376C">
              <w:rPr>
                <w:rFonts w:ascii="Söhne" w:hAnsi="Söhne" w:cs="Arial"/>
                <w:sz w:val="18"/>
                <w:szCs w:val="18"/>
                <w:u w:val="double"/>
              </w:rPr>
              <w:t>-</w:t>
            </w:r>
            <w:r w:rsidRPr="0082376C">
              <w:rPr>
                <w:rFonts w:ascii="Söhne" w:hAnsi="Söhne" w:cs="Arial"/>
                <w:sz w:val="18"/>
                <w:szCs w:val="18"/>
                <w:u w:val="double"/>
              </w:rPr>
              <w:t>TA-3’</w:t>
            </w:r>
          </w:p>
        </w:tc>
        <w:tc>
          <w:tcPr>
            <w:tcW w:w="798" w:type="dxa"/>
            <w:shd w:val="clear" w:color="auto" w:fill="auto"/>
            <w:noWrap/>
            <w:vAlign w:val="center"/>
          </w:tcPr>
          <w:p w14:paraId="125EF21D" w14:textId="77777777" w:rsidR="007A2105" w:rsidRPr="0082376C" w:rsidRDefault="007A2105" w:rsidP="0082376C">
            <w:pPr>
              <w:spacing w:before="40" w:after="40"/>
              <w:jc w:val="center"/>
              <w:rPr>
                <w:rFonts w:ascii="Söhne" w:eastAsia="Times New Roman" w:hAnsi="Söhne" w:cs="Arial"/>
                <w:sz w:val="18"/>
                <w:szCs w:val="18"/>
                <w:u w:val="double"/>
                <w:lang w:val="en-IE"/>
              </w:rPr>
            </w:pPr>
          </w:p>
        </w:tc>
      </w:tr>
      <w:tr w:rsidR="00755F3D" w:rsidRPr="00806349" w14:paraId="5A45EBC2" w14:textId="77777777" w:rsidTr="0082376C">
        <w:trPr>
          <w:trHeight w:val="270"/>
        </w:trPr>
        <w:tc>
          <w:tcPr>
            <w:tcW w:w="2178" w:type="dxa"/>
            <w:shd w:val="clear" w:color="auto" w:fill="auto"/>
            <w:noWrap/>
            <w:vAlign w:val="center"/>
          </w:tcPr>
          <w:p w14:paraId="7B8552AC" w14:textId="53E54D3E" w:rsidR="00755F3D" w:rsidRPr="0082376C" w:rsidRDefault="00755F3D" w:rsidP="0082376C">
            <w:pPr>
              <w:spacing w:before="40" w:after="40"/>
              <w:jc w:val="center"/>
              <w:rPr>
                <w:rFonts w:ascii="Söhne" w:eastAsia="Times New Roman" w:hAnsi="Söhne" w:cs="Arial"/>
                <w:sz w:val="18"/>
                <w:szCs w:val="18"/>
                <w:u w:val="double"/>
                <w:lang w:val="fr-FR"/>
              </w:rPr>
            </w:pPr>
            <w:r w:rsidRPr="0082376C">
              <w:rPr>
                <w:rFonts w:ascii="Söhne" w:eastAsia="Times New Roman" w:hAnsi="Söhne" w:cs="Arial"/>
                <w:sz w:val="18"/>
                <w:szCs w:val="18"/>
                <w:u w:val="double"/>
                <w:lang w:val="fr-FR"/>
              </w:rPr>
              <w:t xml:space="preserve">4b </w:t>
            </w:r>
            <w:proofErr w:type="spellStart"/>
            <w:r w:rsidRPr="0082376C">
              <w:rPr>
                <w:rFonts w:ascii="Söhne" w:eastAsia="Times New Roman" w:hAnsi="Söhne" w:cs="Arial"/>
                <w:sz w:val="18"/>
                <w:szCs w:val="18"/>
                <w:u w:val="double"/>
                <w:lang w:val="fr-FR"/>
              </w:rPr>
              <w:t>core</w:t>
            </w:r>
            <w:proofErr w:type="spellEnd"/>
            <w:r w:rsidRPr="0082376C">
              <w:rPr>
                <w:rFonts w:ascii="Söhne" w:eastAsia="Times New Roman" w:hAnsi="Söhne" w:cs="Arial"/>
                <w:sz w:val="18"/>
                <w:szCs w:val="18"/>
                <w:u w:val="double"/>
                <w:lang w:val="fr-FR"/>
              </w:rPr>
              <w:t xml:space="preserve"> </w:t>
            </w:r>
            <w:proofErr w:type="spellStart"/>
            <w:r w:rsidRPr="0082376C">
              <w:rPr>
                <w:rFonts w:ascii="Söhne" w:eastAsia="Times New Roman" w:hAnsi="Söhne" w:cs="Arial"/>
                <w:sz w:val="18"/>
                <w:szCs w:val="18"/>
                <w:u w:val="double"/>
                <w:lang w:val="fr-FR"/>
              </w:rPr>
              <w:t>protein</w:t>
            </w:r>
            <w:proofErr w:type="spellEnd"/>
            <w:r w:rsidR="00A47C72" w:rsidRPr="0082376C">
              <w:rPr>
                <w:rFonts w:ascii="Söhne" w:eastAsia="Times New Roman" w:hAnsi="Söhne" w:cs="Arial"/>
                <w:sz w:val="18"/>
                <w:szCs w:val="18"/>
                <w:u w:val="double"/>
                <w:lang w:val="fr-FR"/>
              </w:rPr>
              <w:br/>
            </w:r>
            <w:r w:rsidRPr="0082376C">
              <w:rPr>
                <w:rFonts w:ascii="Söhne" w:eastAsia="Times New Roman" w:hAnsi="Söhne" w:cs="Arial"/>
                <w:sz w:val="18"/>
                <w:szCs w:val="18"/>
                <w:u w:val="double"/>
                <w:lang w:val="fr-FR"/>
              </w:rPr>
              <w:t>(</w:t>
            </w:r>
            <w:proofErr w:type="spellStart"/>
            <w:r w:rsidRPr="0082376C">
              <w:rPr>
                <w:rFonts w:ascii="Söhne" w:eastAsia="Times New Roman" w:hAnsi="Söhne" w:cs="Arial"/>
                <w:sz w:val="18"/>
                <w:szCs w:val="18"/>
                <w:u w:val="double"/>
                <w:lang w:val="fr-FR"/>
              </w:rPr>
              <w:t>Fallavena</w:t>
            </w:r>
            <w:proofErr w:type="spellEnd"/>
            <w:r w:rsidRPr="0082376C">
              <w:rPr>
                <w:rFonts w:ascii="Söhne" w:eastAsia="Times New Roman" w:hAnsi="Söhne" w:cs="Arial"/>
                <w:sz w:val="18"/>
                <w:szCs w:val="18"/>
                <w:u w:val="double"/>
                <w:lang w:val="fr-FR"/>
              </w:rPr>
              <w:t xml:space="preserve"> </w:t>
            </w:r>
            <w:r w:rsidRPr="0082376C">
              <w:rPr>
                <w:rFonts w:ascii="Söhne" w:eastAsia="Times New Roman" w:hAnsi="Söhne" w:cs="Arial"/>
                <w:i/>
                <w:sz w:val="18"/>
                <w:szCs w:val="18"/>
                <w:u w:val="double"/>
                <w:lang w:val="fr-FR"/>
              </w:rPr>
              <w:t>et. al</w:t>
            </w:r>
            <w:r w:rsidRPr="0082376C">
              <w:rPr>
                <w:rFonts w:ascii="Söhne" w:eastAsia="Times New Roman" w:hAnsi="Söhne" w:cs="Arial"/>
                <w:sz w:val="18"/>
                <w:szCs w:val="18"/>
                <w:u w:val="double"/>
                <w:lang w:val="fr-FR"/>
              </w:rPr>
              <w:t>., 2002)</w:t>
            </w:r>
          </w:p>
        </w:tc>
        <w:tc>
          <w:tcPr>
            <w:tcW w:w="993" w:type="dxa"/>
            <w:shd w:val="clear" w:color="auto" w:fill="auto"/>
            <w:noWrap/>
            <w:vAlign w:val="center"/>
          </w:tcPr>
          <w:p w14:paraId="44C199E7" w14:textId="22279B76" w:rsidR="00755F3D" w:rsidRPr="0082376C" w:rsidRDefault="00755F3D" w:rsidP="0082376C">
            <w:pPr>
              <w:spacing w:before="40" w:after="40"/>
              <w:jc w:val="center"/>
              <w:rPr>
                <w:rFonts w:ascii="Söhne" w:eastAsia="Times New Roman" w:hAnsi="Söhne" w:cs="Arial"/>
                <w:sz w:val="18"/>
                <w:szCs w:val="18"/>
                <w:u w:val="double"/>
                <w:lang w:val="en-IE"/>
              </w:rPr>
            </w:pPr>
            <w:r w:rsidRPr="0082376C">
              <w:rPr>
                <w:rFonts w:ascii="Söhne" w:eastAsia="Times New Roman" w:hAnsi="Söhne" w:cs="Arial"/>
                <w:sz w:val="18"/>
                <w:szCs w:val="18"/>
                <w:u w:val="double"/>
                <w:lang w:val="en-IE"/>
              </w:rPr>
              <w:t>Forward</w:t>
            </w:r>
          </w:p>
        </w:tc>
        <w:tc>
          <w:tcPr>
            <w:tcW w:w="4929" w:type="dxa"/>
            <w:shd w:val="clear" w:color="auto" w:fill="auto"/>
            <w:noWrap/>
            <w:vAlign w:val="center"/>
          </w:tcPr>
          <w:p w14:paraId="523A11DA" w14:textId="6368947A" w:rsidR="00755F3D" w:rsidRPr="0082376C" w:rsidRDefault="00755F3D" w:rsidP="0082376C">
            <w:pPr>
              <w:spacing w:before="40" w:after="40"/>
              <w:jc w:val="center"/>
              <w:rPr>
                <w:rFonts w:ascii="Söhne" w:hAnsi="Söhne" w:cs="Arial"/>
                <w:caps/>
                <w:sz w:val="18"/>
                <w:szCs w:val="18"/>
                <w:u w:val="double"/>
                <w:lang w:eastAsia="en-US"/>
              </w:rPr>
            </w:pPr>
            <w:r w:rsidRPr="0082376C">
              <w:rPr>
                <w:rFonts w:ascii="Söhne" w:hAnsi="Söhne" w:cs="Arial"/>
                <w:caps/>
                <w:sz w:val="18"/>
                <w:szCs w:val="18"/>
                <w:u w:val="double"/>
                <w:lang w:eastAsia="en-US"/>
              </w:rPr>
              <w:t>5’-ACG</w:t>
            </w:r>
            <w:r w:rsidR="0082376C">
              <w:rPr>
                <w:rFonts w:ascii="Söhne" w:hAnsi="Söhne" w:cs="Arial"/>
                <w:caps/>
                <w:sz w:val="18"/>
                <w:szCs w:val="18"/>
                <w:u w:val="double"/>
                <w:lang w:eastAsia="en-US"/>
              </w:rPr>
              <w:t>-</w:t>
            </w:r>
            <w:r w:rsidRPr="0082376C">
              <w:rPr>
                <w:rFonts w:ascii="Söhne" w:hAnsi="Söhne" w:cs="Arial"/>
                <w:caps/>
                <w:sz w:val="18"/>
                <w:szCs w:val="18"/>
                <w:u w:val="double"/>
                <w:lang w:eastAsia="en-US"/>
              </w:rPr>
              <w:t>ACC</w:t>
            </w:r>
            <w:r w:rsidR="0082376C">
              <w:rPr>
                <w:rFonts w:ascii="Söhne" w:hAnsi="Söhne" w:cs="Arial"/>
                <w:caps/>
                <w:sz w:val="18"/>
                <w:szCs w:val="18"/>
                <w:u w:val="double"/>
                <w:lang w:eastAsia="en-US"/>
              </w:rPr>
              <w:t>-</w:t>
            </w:r>
            <w:r w:rsidRPr="0082376C">
              <w:rPr>
                <w:rFonts w:ascii="Söhne" w:hAnsi="Söhne" w:cs="Arial"/>
                <w:caps/>
                <w:sz w:val="18"/>
                <w:szCs w:val="18"/>
                <w:u w:val="double"/>
                <w:lang w:eastAsia="en-US"/>
              </w:rPr>
              <w:t>TAT</w:t>
            </w:r>
            <w:r w:rsidR="0082376C">
              <w:rPr>
                <w:rFonts w:ascii="Söhne" w:hAnsi="Söhne" w:cs="Arial"/>
                <w:caps/>
                <w:sz w:val="18"/>
                <w:szCs w:val="18"/>
                <w:u w:val="double"/>
                <w:lang w:eastAsia="en-US"/>
              </w:rPr>
              <w:t>-</w:t>
            </w:r>
            <w:r w:rsidRPr="0082376C">
              <w:rPr>
                <w:rFonts w:ascii="Söhne" w:hAnsi="Söhne" w:cs="Arial"/>
                <w:caps/>
                <w:sz w:val="18"/>
                <w:szCs w:val="18"/>
                <w:u w:val="double"/>
                <w:lang w:eastAsia="en-US"/>
              </w:rPr>
              <w:t>GCG</w:t>
            </w:r>
            <w:r w:rsidR="0082376C">
              <w:rPr>
                <w:rFonts w:ascii="Söhne" w:hAnsi="Söhne" w:cs="Arial"/>
                <w:caps/>
                <w:sz w:val="18"/>
                <w:szCs w:val="18"/>
                <w:u w:val="double"/>
                <w:lang w:eastAsia="en-US"/>
              </w:rPr>
              <w:t>-</w:t>
            </w:r>
            <w:r w:rsidRPr="0082376C">
              <w:rPr>
                <w:rFonts w:ascii="Söhne" w:hAnsi="Söhne" w:cs="Arial"/>
                <w:caps/>
                <w:sz w:val="18"/>
                <w:szCs w:val="18"/>
                <w:u w:val="double"/>
                <w:lang w:eastAsia="en-US"/>
              </w:rPr>
              <w:t>TCT</w:t>
            </w:r>
            <w:r w:rsidR="0082376C">
              <w:rPr>
                <w:rFonts w:ascii="Söhne" w:hAnsi="Söhne" w:cs="Arial"/>
                <w:caps/>
                <w:sz w:val="18"/>
                <w:szCs w:val="18"/>
                <w:u w:val="double"/>
                <w:lang w:eastAsia="en-US"/>
              </w:rPr>
              <w:t>-</w:t>
            </w:r>
            <w:r w:rsidRPr="0082376C">
              <w:rPr>
                <w:rFonts w:ascii="Söhne" w:hAnsi="Söhne" w:cs="Arial"/>
                <w:caps/>
                <w:sz w:val="18"/>
                <w:szCs w:val="18"/>
                <w:u w:val="double"/>
                <w:lang w:eastAsia="en-US"/>
              </w:rPr>
              <w:t>TC-3’</w:t>
            </w:r>
          </w:p>
        </w:tc>
        <w:tc>
          <w:tcPr>
            <w:tcW w:w="798" w:type="dxa"/>
            <w:shd w:val="clear" w:color="auto" w:fill="auto"/>
            <w:noWrap/>
            <w:vAlign w:val="center"/>
          </w:tcPr>
          <w:p w14:paraId="18CBB75B" w14:textId="5053B988" w:rsidR="00755F3D" w:rsidRPr="0082376C" w:rsidRDefault="00755F3D" w:rsidP="0082376C">
            <w:pPr>
              <w:spacing w:before="40" w:after="40"/>
              <w:jc w:val="center"/>
              <w:rPr>
                <w:rFonts w:ascii="Söhne" w:eastAsia="Times New Roman" w:hAnsi="Söhne" w:cs="Arial"/>
                <w:sz w:val="18"/>
                <w:szCs w:val="18"/>
                <w:u w:val="double"/>
                <w:lang w:val="en-IE"/>
              </w:rPr>
            </w:pPr>
            <w:r w:rsidRPr="0082376C">
              <w:rPr>
                <w:rFonts w:ascii="Söhne" w:eastAsia="Times New Roman" w:hAnsi="Söhne" w:cs="Arial"/>
                <w:sz w:val="18"/>
                <w:szCs w:val="18"/>
                <w:u w:val="double"/>
                <w:lang w:val="en-IE"/>
              </w:rPr>
              <w:t>419 bp</w:t>
            </w:r>
          </w:p>
        </w:tc>
      </w:tr>
      <w:tr w:rsidR="00755F3D" w:rsidRPr="00806349" w14:paraId="65A784F4" w14:textId="77777777" w:rsidTr="0082376C">
        <w:trPr>
          <w:trHeight w:val="270"/>
        </w:trPr>
        <w:tc>
          <w:tcPr>
            <w:tcW w:w="2178" w:type="dxa"/>
            <w:shd w:val="clear" w:color="auto" w:fill="auto"/>
            <w:noWrap/>
            <w:vAlign w:val="center"/>
          </w:tcPr>
          <w:p w14:paraId="4CC4F1B4" w14:textId="77777777" w:rsidR="00755F3D" w:rsidRPr="0082376C" w:rsidRDefault="00755F3D" w:rsidP="0082376C">
            <w:pPr>
              <w:spacing w:before="40" w:after="40"/>
              <w:jc w:val="center"/>
              <w:rPr>
                <w:rFonts w:ascii="Söhne" w:eastAsia="Times New Roman" w:hAnsi="Söhne" w:cs="Arial"/>
                <w:sz w:val="18"/>
                <w:szCs w:val="18"/>
                <w:u w:val="double"/>
                <w:lang w:val="en-IE"/>
              </w:rPr>
            </w:pPr>
          </w:p>
        </w:tc>
        <w:tc>
          <w:tcPr>
            <w:tcW w:w="993" w:type="dxa"/>
            <w:shd w:val="clear" w:color="auto" w:fill="auto"/>
            <w:noWrap/>
            <w:vAlign w:val="center"/>
          </w:tcPr>
          <w:p w14:paraId="3A79604E" w14:textId="7E35FD76" w:rsidR="00755F3D" w:rsidRPr="0082376C" w:rsidRDefault="00755F3D" w:rsidP="0082376C">
            <w:pPr>
              <w:spacing w:before="40" w:after="40"/>
              <w:jc w:val="center"/>
              <w:rPr>
                <w:rFonts w:ascii="Söhne" w:eastAsia="Times New Roman" w:hAnsi="Söhne" w:cs="Arial"/>
                <w:sz w:val="18"/>
                <w:szCs w:val="18"/>
                <w:u w:val="double"/>
                <w:lang w:val="en-IE"/>
              </w:rPr>
            </w:pPr>
            <w:r w:rsidRPr="0082376C">
              <w:rPr>
                <w:rFonts w:ascii="Söhne" w:eastAsia="Times New Roman" w:hAnsi="Söhne" w:cs="Arial"/>
                <w:sz w:val="18"/>
                <w:szCs w:val="18"/>
                <w:u w:val="double"/>
                <w:lang w:val="en-IE"/>
              </w:rPr>
              <w:t>Reverse</w:t>
            </w:r>
          </w:p>
        </w:tc>
        <w:tc>
          <w:tcPr>
            <w:tcW w:w="4929" w:type="dxa"/>
            <w:shd w:val="clear" w:color="auto" w:fill="auto"/>
            <w:noWrap/>
            <w:vAlign w:val="center"/>
          </w:tcPr>
          <w:p w14:paraId="5D7068FA" w14:textId="5DA1CEA3" w:rsidR="00755F3D" w:rsidRPr="0082376C" w:rsidRDefault="00755F3D" w:rsidP="0082376C">
            <w:pPr>
              <w:spacing w:before="40" w:after="40"/>
              <w:jc w:val="center"/>
              <w:rPr>
                <w:rFonts w:ascii="Söhne" w:hAnsi="Söhne" w:cs="Arial"/>
                <w:caps/>
                <w:sz w:val="18"/>
                <w:szCs w:val="18"/>
                <w:u w:val="double"/>
                <w:lang w:eastAsia="en-US"/>
              </w:rPr>
            </w:pPr>
            <w:r w:rsidRPr="0082376C">
              <w:rPr>
                <w:rFonts w:ascii="Söhne" w:hAnsi="Söhne" w:cs="Arial"/>
                <w:caps/>
                <w:sz w:val="18"/>
                <w:szCs w:val="18"/>
                <w:u w:val="double"/>
                <w:lang w:eastAsia="en-US"/>
              </w:rPr>
              <w:t>5’-ACG</w:t>
            </w:r>
            <w:r w:rsidR="0082376C">
              <w:rPr>
                <w:rFonts w:ascii="Söhne" w:hAnsi="Söhne" w:cs="Arial"/>
                <w:caps/>
                <w:sz w:val="18"/>
                <w:szCs w:val="18"/>
                <w:u w:val="double"/>
                <w:lang w:eastAsia="en-US"/>
              </w:rPr>
              <w:t>-</w:t>
            </w:r>
            <w:r w:rsidRPr="0082376C">
              <w:rPr>
                <w:rFonts w:ascii="Söhne" w:hAnsi="Söhne" w:cs="Arial"/>
                <w:caps/>
                <w:sz w:val="18"/>
                <w:szCs w:val="18"/>
                <w:u w:val="double"/>
                <w:lang w:eastAsia="en-US"/>
              </w:rPr>
              <w:t>CTT</w:t>
            </w:r>
            <w:r w:rsidR="0082376C">
              <w:rPr>
                <w:rFonts w:ascii="Söhne" w:hAnsi="Söhne" w:cs="Arial"/>
                <w:caps/>
                <w:sz w:val="18"/>
                <w:szCs w:val="18"/>
                <w:u w:val="double"/>
                <w:lang w:eastAsia="en-US"/>
              </w:rPr>
              <w:t>-</w:t>
            </w:r>
            <w:r w:rsidRPr="0082376C">
              <w:rPr>
                <w:rFonts w:ascii="Söhne" w:hAnsi="Söhne" w:cs="Arial"/>
                <w:caps/>
                <w:sz w:val="18"/>
                <w:szCs w:val="18"/>
                <w:u w:val="double"/>
                <w:lang w:eastAsia="en-US"/>
              </w:rPr>
              <w:t>GAT</w:t>
            </w:r>
            <w:r w:rsidR="0082376C">
              <w:rPr>
                <w:rFonts w:ascii="Söhne" w:hAnsi="Söhne" w:cs="Arial"/>
                <w:caps/>
                <w:sz w:val="18"/>
                <w:szCs w:val="18"/>
                <w:u w:val="double"/>
                <w:lang w:eastAsia="en-US"/>
              </w:rPr>
              <w:t>-</w:t>
            </w:r>
            <w:r w:rsidRPr="0082376C">
              <w:rPr>
                <w:rFonts w:ascii="Söhne" w:hAnsi="Söhne" w:cs="Arial"/>
                <w:caps/>
                <w:sz w:val="18"/>
                <w:szCs w:val="18"/>
                <w:u w:val="double"/>
                <w:lang w:eastAsia="en-US"/>
              </w:rPr>
              <w:t>ATC</w:t>
            </w:r>
            <w:r w:rsidR="0082376C">
              <w:rPr>
                <w:rFonts w:ascii="Söhne" w:hAnsi="Söhne" w:cs="Arial"/>
                <w:caps/>
                <w:sz w:val="18"/>
                <w:szCs w:val="18"/>
                <w:u w:val="double"/>
                <w:lang w:eastAsia="en-US"/>
              </w:rPr>
              <w:t>-</w:t>
            </w:r>
            <w:r w:rsidRPr="0082376C">
              <w:rPr>
                <w:rFonts w:ascii="Söhne" w:hAnsi="Söhne" w:cs="Arial"/>
                <w:caps/>
                <w:sz w:val="18"/>
                <w:szCs w:val="18"/>
                <w:u w:val="double"/>
                <w:lang w:eastAsia="en-US"/>
              </w:rPr>
              <w:t>TGG</w:t>
            </w:r>
            <w:r w:rsidR="0082376C">
              <w:rPr>
                <w:rFonts w:ascii="Söhne" w:hAnsi="Söhne" w:cs="Arial"/>
                <w:caps/>
                <w:sz w:val="18"/>
                <w:szCs w:val="18"/>
                <w:u w:val="double"/>
                <w:lang w:eastAsia="en-US"/>
              </w:rPr>
              <w:t>-</w:t>
            </w:r>
            <w:r w:rsidRPr="0082376C">
              <w:rPr>
                <w:rFonts w:ascii="Söhne" w:hAnsi="Söhne" w:cs="Arial"/>
                <w:caps/>
                <w:sz w:val="18"/>
                <w:szCs w:val="18"/>
                <w:u w:val="double"/>
                <w:lang w:eastAsia="en-US"/>
              </w:rPr>
              <w:t>ATG-3’</w:t>
            </w:r>
          </w:p>
        </w:tc>
        <w:tc>
          <w:tcPr>
            <w:tcW w:w="798" w:type="dxa"/>
            <w:shd w:val="clear" w:color="auto" w:fill="auto"/>
            <w:noWrap/>
            <w:vAlign w:val="center"/>
          </w:tcPr>
          <w:p w14:paraId="3C781417" w14:textId="77777777" w:rsidR="00755F3D" w:rsidRPr="0082376C" w:rsidRDefault="00755F3D" w:rsidP="0082376C">
            <w:pPr>
              <w:spacing w:before="40" w:after="40"/>
              <w:jc w:val="center"/>
              <w:rPr>
                <w:rFonts w:ascii="Söhne" w:eastAsia="Times New Roman" w:hAnsi="Söhne" w:cs="Arial"/>
                <w:sz w:val="18"/>
                <w:szCs w:val="18"/>
                <w:u w:val="double"/>
                <w:lang w:val="en-IE"/>
              </w:rPr>
            </w:pPr>
          </w:p>
        </w:tc>
      </w:tr>
      <w:tr w:rsidR="005A5E06" w:rsidRPr="00806349" w14:paraId="0F142F67" w14:textId="77777777" w:rsidTr="0082376C">
        <w:trPr>
          <w:trHeight w:val="270"/>
        </w:trPr>
        <w:tc>
          <w:tcPr>
            <w:tcW w:w="2178" w:type="dxa"/>
            <w:shd w:val="clear" w:color="auto" w:fill="auto"/>
            <w:noWrap/>
            <w:vAlign w:val="center"/>
          </w:tcPr>
          <w:p w14:paraId="119724CC" w14:textId="0306DE56" w:rsidR="005A5E06" w:rsidRPr="0082376C" w:rsidRDefault="005A5E06" w:rsidP="0082376C">
            <w:pPr>
              <w:spacing w:before="40" w:after="40"/>
              <w:jc w:val="center"/>
              <w:rPr>
                <w:rFonts w:ascii="Söhne" w:eastAsia="Times New Roman" w:hAnsi="Söhne" w:cs="Arial"/>
                <w:sz w:val="18"/>
                <w:szCs w:val="18"/>
                <w:u w:val="double"/>
                <w:lang w:val="de-DE"/>
              </w:rPr>
            </w:pPr>
            <w:r w:rsidRPr="0082376C">
              <w:rPr>
                <w:rFonts w:ascii="Söhne" w:eastAsia="Times New Roman" w:hAnsi="Söhne" w:cs="Arial"/>
                <w:sz w:val="18"/>
                <w:szCs w:val="18"/>
                <w:u w:val="double"/>
                <w:lang w:val="de-DE"/>
              </w:rPr>
              <w:t>4b core protein</w:t>
            </w:r>
            <w:r w:rsidR="004F2EBF" w:rsidRPr="0082376C">
              <w:rPr>
                <w:rFonts w:ascii="Söhne" w:eastAsia="Times New Roman" w:hAnsi="Söhne" w:cs="Arial"/>
                <w:sz w:val="18"/>
                <w:szCs w:val="18"/>
                <w:u w:val="double"/>
                <w:lang w:val="de-DE"/>
              </w:rPr>
              <w:br/>
            </w:r>
            <w:r w:rsidR="00FB7330" w:rsidRPr="0082376C">
              <w:rPr>
                <w:rFonts w:ascii="Söhne" w:eastAsia="Times New Roman" w:hAnsi="Söhne" w:cs="Arial"/>
                <w:sz w:val="18"/>
                <w:szCs w:val="18"/>
                <w:u w:val="double"/>
                <w:lang w:val="de-DE"/>
              </w:rPr>
              <w:t>(</w:t>
            </w:r>
            <w:r w:rsidRPr="0082376C">
              <w:rPr>
                <w:rFonts w:ascii="Söhne" w:eastAsia="Times New Roman" w:hAnsi="Söhne" w:cs="Arial"/>
                <w:sz w:val="18"/>
                <w:szCs w:val="18"/>
                <w:u w:val="double"/>
                <w:lang w:val="de-DE"/>
              </w:rPr>
              <w:t xml:space="preserve">Hauck </w:t>
            </w:r>
            <w:r w:rsidRPr="0082376C">
              <w:rPr>
                <w:rFonts w:ascii="Söhne" w:eastAsia="Times New Roman" w:hAnsi="Söhne" w:cs="Arial"/>
                <w:i/>
                <w:iCs/>
                <w:sz w:val="18"/>
                <w:szCs w:val="18"/>
                <w:u w:val="double"/>
                <w:lang w:val="de-DE"/>
              </w:rPr>
              <w:t>et</w:t>
            </w:r>
            <w:r w:rsidR="00D51039" w:rsidRPr="0082376C">
              <w:rPr>
                <w:rFonts w:ascii="Söhne" w:eastAsia="Times New Roman" w:hAnsi="Söhne" w:cs="Arial"/>
                <w:i/>
                <w:iCs/>
                <w:sz w:val="18"/>
                <w:szCs w:val="18"/>
                <w:u w:val="double"/>
                <w:lang w:val="de-DE"/>
              </w:rPr>
              <w:t xml:space="preserve"> </w:t>
            </w:r>
            <w:r w:rsidRPr="0082376C">
              <w:rPr>
                <w:rFonts w:ascii="Söhne" w:eastAsia="Times New Roman" w:hAnsi="Söhne" w:cs="Arial"/>
                <w:i/>
                <w:iCs/>
                <w:sz w:val="18"/>
                <w:szCs w:val="18"/>
                <w:u w:val="double"/>
                <w:lang w:val="de-DE"/>
              </w:rPr>
              <w:t>al.</w:t>
            </w:r>
            <w:r w:rsidR="00D51039" w:rsidRPr="0082376C">
              <w:rPr>
                <w:rFonts w:ascii="Söhne" w:eastAsia="Times New Roman" w:hAnsi="Söhne" w:cs="Arial"/>
                <w:i/>
                <w:iCs/>
                <w:sz w:val="18"/>
                <w:szCs w:val="18"/>
                <w:u w:val="double"/>
                <w:lang w:val="de-DE"/>
              </w:rPr>
              <w:t xml:space="preserve">, </w:t>
            </w:r>
            <w:r w:rsidR="00D51039" w:rsidRPr="0082376C">
              <w:rPr>
                <w:rFonts w:ascii="Söhne" w:eastAsia="Times New Roman" w:hAnsi="Söhne" w:cs="Arial"/>
                <w:sz w:val="18"/>
                <w:szCs w:val="18"/>
                <w:u w:val="double"/>
                <w:lang w:val="de-DE"/>
              </w:rPr>
              <w:t>2009</w:t>
            </w:r>
            <w:r w:rsidR="00FB7330" w:rsidRPr="0082376C">
              <w:rPr>
                <w:rFonts w:ascii="Söhne" w:eastAsia="Times New Roman" w:hAnsi="Söhne" w:cs="Arial"/>
                <w:i/>
                <w:iCs/>
                <w:sz w:val="18"/>
                <w:szCs w:val="18"/>
                <w:u w:val="double"/>
                <w:lang w:val="de-DE"/>
              </w:rPr>
              <w:t>)</w:t>
            </w:r>
          </w:p>
        </w:tc>
        <w:tc>
          <w:tcPr>
            <w:tcW w:w="993" w:type="dxa"/>
            <w:shd w:val="clear" w:color="auto" w:fill="auto"/>
            <w:noWrap/>
            <w:vAlign w:val="center"/>
          </w:tcPr>
          <w:p w14:paraId="6E6B72C2" w14:textId="1F33BD5D" w:rsidR="005A5E06" w:rsidRPr="0082376C" w:rsidRDefault="005A5E06" w:rsidP="0082376C">
            <w:pPr>
              <w:spacing w:before="40" w:after="40"/>
              <w:jc w:val="center"/>
              <w:rPr>
                <w:rFonts w:ascii="Söhne" w:eastAsia="Times New Roman" w:hAnsi="Söhne" w:cs="Arial"/>
                <w:sz w:val="18"/>
                <w:szCs w:val="18"/>
                <w:u w:val="double"/>
                <w:lang w:val="en-IE"/>
              </w:rPr>
            </w:pPr>
            <w:r w:rsidRPr="0082376C">
              <w:rPr>
                <w:rFonts w:ascii="Söhne" w:eastAsia="Times New Roman" w:hAnsi="Söhne" w:cs="Arial"/>
                <w:sz w:val="18"/>
                <w:szCs w:val="18"/>
                <w:u w:val="double"/>
                <w:lang w:val="en-IE"/>
              </w:rPr>
              <w:t xml:space="preserve">Forward </w:t>
            </w:r>
          </w:p>
        </w:tc>
        <w:tc>
          <w:tcPr>
            <w:tcW w:w="4929" w:type="dxa"/>
            <w:shd w:val="clear" w:color="auto" w:fill="auto"/>
            <w:noWrap/>
            <w:vAlign w:val="center"/>
          </w:tcPr>
          <w:p w14:paraId="2B1E75B6" w14:textId="27E30B43" w:rsidR="005A5E06" w:rsidRPr="0082376C" w:rsidRDefault="005A5E06" w:rsidP="0082376C">
            <w:pPr>
              <w:spacing w:before="40" w:after="40"/>
              <w:jc w:val="center"/>
              <w:rPr>
                <w:rFonts w:ascii="Söhne" w:eastAsia="Times New Roman" w:hAnsi="Söhne" w:cs="Arial"/>
                <w:caps/>
                <w:sz w:val="18"/>
                <w:szCs w:val="18"/>
                <w:u w:val="double"/>
                <w:lang w:val="en-IE"/>
              </w:rPr>
            </w:pPr>
            <w:r w:rsidRPr="0082376C">
              <w:rPr>
                <w:rFonts w:ascii="Söhne" w:hAnsi="Söhne" w:cs="Arial"/>
                <w:caps/>
                <w:sz w:val="18"/>
                <w:szCs w:val="18"/>
                <w:u w:val="double"/>
                <w:lang w:eastAsia="en-US"/>
              </w:rPr>
              <w:t>5’-tca</w:t>
            </w:r>
            <w:r w:rsidR="00355274"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gca</w:t>
            </w:r>
            <w:r w:rsidR="00355274"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gtt</w:t>
            </w:r>
            <w:r w:rsidR="00355274"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tgt</w:t>
            </w:r>
            <w:r w:rsidR="00355274"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tac</w:t>
            </w:r>
            <w:r w:rsidR="00355274"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aag</w:t>
            </w:r>
            <w:r w:rsidR="00355274"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aca-3’</w:t>
            </w:r>
          </w:p>
        </w:tc>
        <w:tc>
          <w:tcPr>
            <w:tcW w:w="798" w:type="dxa"/>
            <w:shd w:val="clear" w:color="auto" w:fill="auto"/>
            <w:noWrap/>
            <w:vAlign w:val="center"/>
          </w:tcPr>
          <w:p w14:paraId="4A969D0F" w14:textId="52964635" w:rsidR="005A5E06" w:rsidRPr="0082376C" w:rsidRDefault="00FB7330" w:rsidP="0082376C">
            <w:pPr>
              <w:spacing w:before="40" w:after="40"/>
              <w:jc w:val="center"/>
              <w:rPr>
                <w:rFonts w:ascii="Söhne" w:eastAsia="Times New Roman" w:hAnsi="Söhne" w:cs="Arial"/>
                <w:sz w:val="18"/>
                <w:szCs w:val="18"/>
                <w:u w:val="double"/>
                <w:lang w:val="en-IE"/>
              </w:rPr>
            </w:pPr>
            <w:r w:rsidRPr="0082376C">
              <w:rPr>
                <w:rFonts w:ascii="Söhne" w:eastAsia="Times New Roman" w:hAnsi="Söhne" w:cs="Arial"/>
                <w:sz w:val="18"/>
                <w:szCs w:val="18"/>
                <w:u w:val="double"/>
                <w:lang w:val="en-IE"/>
              </w:rPr>
              <w:t>109 bp</w:t>
            </w:r>
          </w:p>
        </w:tc>
      </w:tr>
      <w:tr w:rsidR="005A5E06" w:rsidRPr="00806349" w14:paraId="3264A803" w14:textId="77777777" w:rsidTr="0082376C">
        <w:trPr>
          <w:trHeight w:val="270"/>
        </w:trPr>
        <w:tc>
          <w:tcPr>
            <w:tcW w:w="2178" w:type="dxa"/>
            <w:shd w:val="clear" w:color="auto" w:fill="auto"/>
            <w:noWrap/>
            <w:vAlign w:val="center"/>
          </w:tcPr>
          <w:p w14:paraId="146B4BED" w14:textId="77777777" w:rsidR="005A5E06" w:rsidRPr="0082376C" w:rsidRDefault="005A5E06" w:rsidP="0082376C">
            <w:pPr>
              <w:spacing w:before="40" w:after="40"/>
              <w:jc w:val="center"/>
              <w:rPr>
                <w:rFonts w:ascii="Söhne" w:eastAsia="Times New Roman" w:hAnsi="Söhne" w:cs="Arial"/>
                <w:sz w:val="18"/>
                <w:szCs w:val="18"/>
                <w:u w:val="double"/>
                <w:lang w:val="en-IE"/>
              </w:rPr>
            </w:pPr>
          </w:p>
        </w:tc>
        <w:tc>
          <w:tcPr>
            <w:tcW w:w="993" w:type="dxa"/>
            <w:shd w:val="clear" w:color="auto" w:fill="auto"/>
            <w:noWrap/>
            <w:vAlign w:val="center"/>
          </w:tcPr>
          <w:p w14:paraId="734C7DD7" w14:textId="00DB9ED3" w:rsidR="005A5E06" w:rsidRPr="0082376C" w:rsidRDefault="005A5E06" w:rsidP="0082376C">
            <w:pPr>
              <w:spacing w:before="40" w:after="40"/>
              <w:jc w:val="center"/>
              <w:rPr>
                <w:rFonts w:ascii="Söhne" w:eastAsia="Times New Roman" w:hAnsi="Söhne" w:cs="Arial"/>
                <w:sz w:val="18"/>
                <w:szCs w:val="18"/>
                <w:u w:val="double"/>
                <w:lang w:val="en-IE"/>
              </w:rPr>
            </w:pPr>
            <w:r w:rsidRPr="0082376C">
              <w:rPr>
                <w:rFonts w:ascii="Söhne" w:eastAsia="Times New Roman" w:hAnsi="Söhne" w:cs="Arial"/>
                <w:sz w:val="18"/>
                <w:szCs w:val="18"/>
                <w:u w:val="double"/>
                <w:lang w:val="en-IE"/>
              </w:rPr>
              <w:t>Reverse</w:t>
            </w:r>
          </w:p>
        </w:tc>
        <w:tc>
          <w:tcPr>
            <w:tcW w:w="4929" w:type="dxa"/>
            <w:shd w:val="clear" w:color="auto" w:fill="auto"/>
            <w:noWrap/>
            <w:vAlign w:val="center"/>
          </w:tcPr>
          <w:p w14:paraId="58848A87" w14:textId="0229B323" w:rsidR="005A5E06" w:rsidRPr="0082376C" w:rsidRDefault="005A5E06" w:rsidP="0082376C">
            <w:pPr>
              <w:spacing w:before="40" w:after="40"/>
              <w:jc w:val="center"/>
              <w:rPr>
                <w:rFonts w:ascii="Söhne" w:eastAsia="Times New Roman" w:hAnsi="Söhne" w:cs="Arial"/>
                <w:caps/>
                <w:sz w:val="18"/>
                <w:szCs w:val="18"/>
                <w:u w:val="double"/>
                <w:lang w:val="en-IE"/>
              </w:rPr>
            </w:pPr>
            <w:r w:rsidRPr="0082376C">
              <w:rPr>
                <w:rFonts w:ascii="Söhne" w:hAnsi="Söhne" w:cs="Arial"/>
                <w:caps/>
                <w:sz w:val="18"/>
                <w:szCs w:val="18"/>
                <w:u w:val="double"/>
                <w:lang w:eastAsia="en-US"/>
              </w:rPr>
              <w:t>5’-cca</w:t>
            </w:r>
            <w:r w:rsidR="00355274"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ttt</w:t>
            </w:r>
            <w:r w:rsidR="00355274"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ccg</w:t>
            </w:r>
            <w:r w:rsidR="00355274"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tga</w:t>
            </w:r>
            <w:r w:rsidR="00355274"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ata</w:t>
            </w:r>
            <w:r w:rsidR="00355274"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gaa</w:t>
            </w:r>
            <w:r w:rsidR="00355274"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tag</w:t>
            </w:r>
            <w:r w:rsidR="00355274"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tat-3’</w:t>
            </w:r>
          </w:p>
        </w:tc>
        <w:tc>
          <w:tcPr>
            <w:tcW w:w="798" w:type="dxa"/>
            <w:shd w:val="clear" w:color="auto" w:fill="auto"/>
            <w:noWrap/>
            <w:vAlign w:val="center"/>
          </w:tcPr>
          <w:p w14:paraId="6FC34CC2" w14:textId="77777777" w:rsidR="005A5E06" w:rsidRPr="0082376C" w:rsidRDefault="005A5E06" w:rsidP="0082376C">
            <w:pPr>
              <w:spacing w:before="40" w:after="40"/>
              <w:jc w:val="center"/>
              <w:rPr>
                <w:rFonts w:ascii="Söhne" w:eastAsia="Times New Roman" w:hAnsi="Söhne" w:cs="Arial"/>
                <w:sz w:val="18"/>
                <w:szCs w:val="18"/>
                <w:u w:val="double"/>
                <w:lang w:val="en-IE"/>
              </w:rPr>
            </w:pPr>
          </w:p>
        </w:tc>
      </w:tr>
      <w:tr w:rsidR="005A5E06" w:rsidRPr="00806349" w14:paraId="0A714FF4" w14:textId="77777777" w:rsidTr="0082376C">
        <w:trPr>
          <w:trHeight w:val="270"/>
        </w:trPr>
        <w:tc>
          <w:tcPr>
            <w:tcW w:w="2178" w:type="dxa"/>
            <w:shd w:val="clear" w:color="auto" w:fill="auto"/>
            <w:noWrap/>
            <w:vAlign w:val="center"/>
          </w:tcPr>
          <w:p w14:paraId="1E8D2623" w14:textId="77777777" w:rsidR="005A5E06" w:rsidRPr="0082376C" w:rsidRDefault="005A5E06" w:rsidP="0082376C">
            <w:pPr>
              <w:spacing w:before="40" w:after="40"/>
              <w:jc w:val="center"/>
              <w:rPr>
                <w:rFonts w:ascii="Söhne" w:eastAsia="Times New Roman" w:hAnsi="Söhne" w:cs="Arial"/>
                <w:sz w:val="18"/>
                <w:szCs w:val="18"/>
                <w:u w:val="double"/>
                <w:lang w:val="en-IE"/>
              </w:rPr>
            </w:pPr>
          </w:p>
        </w:tc>
        <w:tc>
          <w:tcPr>
            <w:tcW w:w="993" w:type="dxa"/>
            <w:shd w:val="clear" w:color="auto" w:fill="auto"/>
            <w:noWrap/>
            <w:vAlign w:val="center"/>
          </w:tcPr>
          <w:p w14:paraId="27FCD03A" w14:textId="5E1A4143" w:rsidR="005A5E06" w:rsidRPr="0082376C" w:rsidRDefault="005A5E06" w:rsidP="0082376C">
            <w:pPr>
              <w:spacing w:before="40" w:after="40"/>
              <w:jc w:val="center"/>
              <w:rPr>
                <w:rFonts w:ascii="Söhne" w:eastAsia="Times New Roman" w:hAnsi="Söhne" w:cs="Arial"/>
                <w:sz w:val="18"/>
                <w:szCs w:val="18"/>
                <w:u w:val="double"/>
                <w:lang w:val="en-IE"/>
              </w:rPr>
            </w:pPr>
            <w:r w:rsidRPr="0082376C">
              <w:rPr>
                <w:rFonts w:ascii="Söhne" w:eastAsia="Times New Roman" w:hAnsi="Söhne" w:cs="Arial"/>
                <w:sz w:val="18"/>
                <w:szCs w:val="18"/>
                <w:u w:val="double"/>
                <w:lang w:val="en-IE"/>
              </w:rPr>
              <w:t>Probe</w:t>
            </w:r>
          </w:p>
        </w:tc>
        <w:tc>
          <w:tcPr>
            <w:tcW w:w="4929" w:type="dxa"/>
            <w:shd w:val="clear" w:color="auto" w:fill="auto"/>
            <w:noWrap/>
            <w:vAlign w:val="center"/>
          </w:tcPr>
          <w:p w14:paraId="28CD0DCC" w14:textId="4DDF34DC" w:rsidR="005A5E06" w:rsidRPr="0082376C" w:rsidRDefault="005A5E06" w:rsidP="0082376C">
            <w:pPr>
              <w:spacing w:before="40" w:after="40"/>
              <w:jc w:val="center"/>
              <w:rPr>
                <w:rFonts w:ascii="Söhne" w:eastAsia="Times New Roman" w:hAnsi="Söhne" w:cs="Arial"/>
                <w:caps/>
                <w:sz w:val="18"/>
                <w:szCs w:val="18"/>
                <w:u w:val="double"/>
                <w:lang w:val="en-IE"/>
              </w:rPr>
            </w:pPr>
            <w:r w:rsidRPr="0082376C">
              <w:rPr>
                <w:rFonts w:ascii="Söhne" w:hAnsi="Söhne" w:cs="Arial"/>
                <w:sz w:val="18"/>
                <w:szCs w:val="18"/>
                <w:u w:val="double"/>
                <w:lang w:eastAsia="en-US"/>
              </w:rPr>
              <w:t>5’-Cyan5-</w:t>
            </w:r>
            <w:r w:rsidRPr="0082376C">
              <w:rPr>
                <w:rFonts w:ascii="Söhne" w:hAnsi="Söhne" w:cs="Arial"/>
                <w:caps/>
                <w:sz w:val="18"/>
                <w:szCs w:val="18"/>
                <w:u w:val="double"/>
                <w:lang w:eastAsia="en-US"/>
              </w:rPr>
              <w:t>atc</w:t>
            </w:r>
            <w:r w:rsidR="007C2DAE"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tcc</w:t>
            </w:r>
            <w:r w:rsidR="007C2DAE"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gcc</w:t>
            </w:r>
            <w:r w:rsidR="007C2DAE"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gtc</w:t>
            </w:r>
            <w:r w:rsidR="007C2DAE"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gca</w:t>
            </w:r>
            <w:r w:rsidR="007C2DAE"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act</w:t>
            </w:r>
            <w:r w:rsidR="007C2DAE"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tcc</w:t>
            </w:r>
            <w:r w:rsidR="007C2DAE" w:rsidRPr="0082376C">
              <w:rPr>
                <w:rFonts w:ascii="Söhne" w:hAnsi="Söhne" w:cs="Arial"/>
                <w:caps/>
                <w:sz w:val="18"/>
                <w:szCs w:val="18"/>
                <w:u w:val="double"/>
                <w:lang w:eastAsia="en-US"/>
              </w:rPr>
              <w:t>-</w:t>
            </w:r>
            <w:r w:rsidRPr="0082376C">
              <w:rPr>
                <w:rFonts w:ascii="Söhne" w:hAnsi="Söhne" w:cs="Arial"/>
                <w:caps/>
                <w:sz w:val="18"/>
                <w:szCs w:val="18"/>
                <w:u w:val="double"/>
                <w:lang w:eastAsia="en-US"/>
              </w:rPr>
              <w:t>a-BHQ1-3’</w:t>
            </w:r>
          </w:p>
        </w:tc>
        <w:tc>
          <w:tcPr>
            <w:tcW w:w="798" w:type="dxa"/>
            <w:shd w:val="clear" w:color="auto" w:fill="auto"/>
            <w:noWrap/>
            <w:vAlign w:val="center"/>
          </w:tcPr>
          <w:p w14:paraId="5D9724F2" w14:textId="77777777" w:rsidR="005A5E06" w:rsidRPr="0082376C" w:rsidRDefault="005A5E06" w:rsidP="0082376C">
            <w:pPr>
              <w:spacing w:before="40" w:after="40"/>
              <w:jc w:val="center"/>
              <w:rPr>
                <w:rFonts w:ascii="Söhne" w:eastAsia="Times New Roman" w:hAnsi="Söhne" w:cs="Arial"/>
                <w:sz w:val="18"/>
                <w:szCs w:val="18"/>
                <w:u w:val="double"/>
                <w:lang w:val="en-IE"/>
              </w:rPr>
            </w:pPr>
          </w:p>
        </w:tc>
      </w:tr>
    </w:tbl>
    <w:p w14:paraId="55D764D0" w14:textId="1A8357E5" w:rsidR="00273EF4" w:rsidRPr="00806349" w:rsidRDefault="00273EF4" w:rsidP="00DC17C5">
      <w:pPr>
        <w:pStyle w:val="11Para"/>
        <w:spacing w:before="240"/>
        <w:rPr>
          <w:u w:val="double"/>
          <w:lang w:val="en-IE"/>
        </w:rPr>
      </w:pPr>
      <w:r w:rsidRPr="00806349">
        <w:rPr>
          <w:u w:val="double"/>
          <w:lang w:val="en-IE"/>
        </w:rPr>
        <w:t xml:space="preserve">As most of the field strains of </w:t>
      </w:r>
      <w:r w:rsidR="00924880" w:rsidRPr="00806349">
        <w:rPr>
          <w:u w:val="double"/>
          <w:lang w:val="en-IE"/>
        </w:rPr>
        <w:t>FPV</w:t>
      </w:r>
      <w:r w:rsidRPr="00806349">
        <w:rPr>
          <w:u w:val="double"/>
          <w:lang w:val="en-IE"/>
        </w:rPr>
        <w:t xml:space="preserve"> may contain insertion of </w:t>
      </w:r>
      <w:proofErr w:type="spellStart"/>
      <w:r w:rsidRPr="00806349">
        <w:rPr>
          <w:u w:val="double"/>
          <w:lang w:val="en-IE"/>
        </w:rPr>
        <w:t>reticuloendotheliosis</w:t>
      </w:r>
      <w:proofErr w:type="spellEnd"/>
      <w:r w:rsidRPr="00806349">
        <w:rPr>
          <w:u w:val="double"/>
          <w:lang w:val="en-IE"/>
        </w:rPr>
        <w:t xml:space="preserve"> virus (REV) in their genome, identification of such strains can be determined by using REV envelope</w:t>
      </w:r>
      <w:r w:rsidR="00C61AE5" w:rsidRPr="00806349">
        <w:rPr>
          <w:u w:val="double"/>
          <w:lang w:val="en-IE"/>
        </w:rPr>
        <w:t xml:space="preserve"> </w:t>
      </w:r>
      <w:r w:rsidRPr="00806349">
        <w:rPr>
          <w:u w:val="double"/>
          <w:lang w:val="en-IE"/>
        </w:rPr>
        <w:t>(RENV) specific following primers for amplification of a 227 bp fragment</w:t>
      </w:r>
      <w:r w:rsidR="00F815C5" w:rsidRPr="00806349">
        <w:rPr>
          <w:u w:val="double"/>
          <w:lang w:val="en-IE"/>
        </w:rPr>
        <w:t xml:space="preserve"> or in a </w:t>
      </w:r>
      <w:r w:rsidR="004F2EBF" w:rsidRPr="00806349">
        <w:rPr>
          <w:u w:val="double"/>
          <w:lang w:val="en-IE"/>
        </w:rPr>
        <w:t xml:space="preserve">real-time </w:t>
      </w:r>
      <w:r w:rsidR="00F815C5" w:rsidRPr="00806349">
        <w:rPr>
          <w:u w:val="double"/>
          <w:lang w:val="en-IE"/>
        </w:rPr>
        <w:t>PCR assay detecting REV-</w:t>
      </w:r>
      <w:proofErr w:type="spellStart"/>
      <w:r w:rsidR="00F815C5" w:rsidRPr="00806349">
        <w:rPr>
          <w:u w:val="double"/>
          <w:lang w:val="en-IE"/>
        </w:rPr>
        <w:t>proviral</w:t>
      </w:r>
      <w:proofErr w:type="spellEnd"/>
      <w:r w:rsidR="00F815C5" w:rsidRPr="00806349">
        <w:rPr>
          <w:u w:val="double"/>
          <w:lang w:val="en-IE"/>
        </w:rPr>
        <w:t xml:space="preserve"> DNA (gag)</w:t>
      </w:r>
      <w:r w:rsidR="004F2EBF" w:rsidRPr="00806349">
        <w:rPr>
          <w:u w:val="double"/>
          <w:lang w:val="en-IE"/>
        </w:rPr>
        <w:t>.</w:t>
      </w:r>
    </w:p>
    <w:tbl>
      <w:tblPr>
        <w:tblW w:w="9164" w:type="dxa"/>
        <w:tblInd w:w="85" w:type="dxa"/>
        <w:tblLook w:val="0000" w:firstRow="0" w:lastRow="0" w:firstColumn="0" w:lastColumn="0" w:noHBand="0" w:noVBand="0"/>
      </w:tblPr>
      <w:tblGrid>
        <w:gridCol w:w="1900"/>
        <w:gridCol w:w="992"/>
        <w:gridCol w:w="5462"/>
        <w:gridCol w:w="810"/>
      </w:tblGrid>
      <w:tr w:rsidR="006C0B5D" w:rsidRPr="00806349" w14:paraId="1E9D4149" w14:textId="77777777" w:rsidTr="001303EA">
        <w:trPr>
          <w:trHeight w:val="270"/>
        </w:trPr>
        <w:tc>
          <w:tcPr>
            <w:tcW w:w="1900" w:type="dxa"/>
            <w:tcBorders>
              <w:top w:val="single" w:sz="4" w:space="0" w:color="auto"/>
              <w:left w:val="nil"/>
              <w:bottom w:val="single" w:sz="4" w:space="0" w:color="auto"/>
              <w:right w:val="single" w:sz="4" w:space="0" w:color="auto"/>
            </w:tcBorders>
            <w:shd w:val="clear" w:color="auto" w:fill="auto"/>
            <w:noWrap/>
            <w:vAlign w:val="center"/>
          </w:tcPr>
          <w:p w14:paraId="66D8D548" w14:textId="4605F25D" w:rsidR="006C0B5D" w:rsidRPr="00806349" w:rsidRDefault="006C0B5D" w:rsidP="001303EA">
            <w:pPr>
              <w:jc w:val="center"/>
              <w:rPr>
                <w:rFonts w:ascii="Arial" w:eastAsia="Times New Roman" w:hAnsi="Arial" w:cs="Arial"/>
                <w:sz w:val="18"/>
                <w:szCs w:val="18"/>
                <w:u w:val="double"/>
                <w:lang w:val="fr-FR"/>
              </w:rPr>
            </w:pPr>
            <w:r>
              <w:rPr>
                <w:rFonts w:ascii="Arial" w:eastAsia="Times New Roman" w:hAnsi="Arial" w:cs="Arial"/>
                <w:sz w:val="18"/>
                <w:szCs w:val="18"/>
                <w:u w:val="double"/>
                <w:lang w:val="fr-FR"/>
              </w:rPr>
              <w:t>REV</w:t>
            </w:r>
            <w:r w:rsidR="0021260B">
              <w:rPr>
                <w:rFonts w:ascii="Arial" w:eastAsia="Times New Roman" w:hAnsi="Arial" w:cs="Arial"/>
                <w:sz w:val="18"/>
                <w:szCs w:val="18"/>
                <w:u w:val="double"/>
                <w:lang w:val="fr-FR"/>
              </w:rPr>
              <w:t xml:space="preserve"> LTR</w:t>
            </w:r>
            <w:r w:rsidR="001303EA">
              <w:rPr>
                <w:rFonts w:ascii="Arial" w:eastAsia="Times New Roman" w:hAnsi="Arial" w:cs="Arial"/>
                <w:sz w:val="18"/>
                <w:szCs w:val="18"/>
                <w:u w:val="double"/>
                <w:lang w:val="fr-FR"/>
              </w:rPr>
              <w:br/>
            </w:r>
            <w:r>
              <w:rPr>
                <w:rFonts w:ascii="Arial" w:eastAsia="Times New Roman" w:hAnsi="Arial" w:cs="Arial"/>
                <w:sz w:val="18"/>
                <w:szCs w:val="18"/>
                <w:u w:val="double"/>
                <w:lang w:val="fr-FR"/>
              </w:rPr>
              <w:t>(</w:t>
            </w:r>
            <w:proofErr w:type="spellStart"/>
            <w:r>
              <w:rPr>
                <w:rFonts w:ascii="Arial" w:eastAsia="Times New Roman" w:hAnsi="Arial" w:cs="Arial"/>
                <w:sz w:val="18"/>
                <w:szCs w:val="18"/>
                <w:u w:val="double"/>
                <w:lang w:val="fr-FR"/>
              </w:rPr>
              <w:t>Ottiger</w:t>
            </w:r>
            <w:proofErr w:type="spellEnd"/>
            <w:r>
              <w:rPr>
                <w:rFonts w:ascii="Arial" w:eastAsia="Times New Roman" w:hAnsi="Arial" w:cs="Arial"/>
                <w:sz w:val="18"/>
                <w:szCs w:val="18"/>
                <w:u w:val="double"/>
                <w:lang w:val="fr-FR"/>
              </w:rPr>
              <w:t>, 2010)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7B128F" w14:textId="3F0B84B5" w:rsidR="006C0B5D" w:rsidRPr="00806349" w:rsidRDefault="006C0B5D" w:rsidP="007C2DAE">
            <w:pPr>
              <w:jc w:val="center"/>
              <w:rPr>
                <w:rFonts w:ascii="Arial" w:eastAsia="Times New Roman" w:hAnsi="Arial" w:cs="Arial"/>
                <w:sz w:val="18"/>
                <w:szCs w:val="18"/>
                <w:u w:val="double"/>
                <w:lang w:val="en-IE"/>
              </w:rPr>
            </w:pPr>
            <w:r>
              <w:rPr>
                <w:rFonts w:ascii="Arial" w:eastAsia="Times New Roman" w:hAnsi="Arial" w:cs="Arial"/>
                <w:sz w:val="18"/>
                <w:szCs w:val="18"/>
                <w:u w:val="double"/>
                <w:lang w:val="en-IE"/>
              </w:rPr>
              <w:t>Forward</w:t>
            </w:r>
          </w:p>
        </w:tc>
        <w:tc>
          <w:tcPr>
            <w:tcW w:w="5462" w:type="dxa"/>
            <w:tcBorders>
              <w:top w:val="single" w:sz="4" w:space="0" w:color="auto"/>
              <w:left w:val="nil"/>
              <w:bottom w:val="single" w:sz="4" w:space="0" w:color="auto"/>
              <w:right w:val="single" w:sz="4" w:space="0" w:color="auto"/>
            </w:tcBorders>
            <w:shd w:val="clear" w:color="auto" w:fill="auto"/>
            <w:noWrap/>
            <w:vAlign w:val="center"/>
          </w:tcPr>
          <w:p w14:paraId="3783C4E7" w14:textId="2EF690BF" w:rsidR="006C0B5D" w:rsidRPr="001303EA" w:rsidRDefault="006C0B5D" w:rsidP="007C2DAE">
            <w:pPr>
              <w:jc w:val="center"/>
              <w:rPr>
                <w:rFonts w:ascii="Arial" w:eastAsia="Times New Roman" w:hAnsi="Arial" w:cs="Arial"/>
                <w:caps/>
                <w:sz w:val="18"/>
                <w:szCs w:val="18"/>
                <w:u w:val="double"/>
              </w:rPr>
            </w:pPr>
            <w:r w:rsidRPr="001303EA">
              <w:rPr>
                <w:rFonts w:ascii="Arial" w:eastAsia="Times New Roman" w:hAnsi="Arial" w:cs="Arial"/>
                <w:caps/>
                <w:sz w:val="18"/>
                <w:szCs w:val="18"/>
                <w:u w:val="double"/>
              </w:rPr>
              <w:t>5’-CAT</w:t>
            </w:r>
            <w:r w:rsidR="001303EA">
              <w:rPr>
                <w:rFonts w:ascii="Arial" w:eastAsia="Times New Roman" w:hAnsi="Arial" w:cs="Arial"/>
                <w:caps/>
                <w:sz w:val="18"/>
                <w:szCs w:val="18"/>
                <w:u w:val="double"/>
              </w:rPr>
              <w:t>-</w:t>
            </w:r>
            <w:r w:rsidRPr="001303EA">
              <w:rPr>
                <w:rFonts w:ascii="Arial" w:eastAsia="Times New Roman" w:hAnsi="Arial" w:cs="Arial"/>
                <w:caps/>
                <w:sz w:val="18"/>
                <w:szCs w:val="18"/>
                <w:u w:val="double"/>
              </w:rPr>
              <w:t>ACT</w:t>
            </w:r>
            <w:r w:rsidR="001303EA">
              <w:rPr>
                <w:rFonts w:ascii="Arial" w:eastAsia="Times New Roman" w:hAnsi="Arial" w:cs="Arial"/>
                <w:caps/>
                <w:sz w:val="18"/>
                <w:szCs w:val="18"/>
                <w:u w:val="double"/>
              </w:rPr>
              <w:t>-</w:t>
            </w:r>
            <w:r w:rsidRPr="001303EA">
              <w:rPr>
                <w:rFonts w:ascii="Arial" w:eastAsia="Times New Roman" w:hAnsi="Arial" w:cs="Arial"/>
                <w:caps/>
                <w:sz w:val="18"/>
                <w:szCs w:val="18"/>
                <w:u w:val="double"/>
              </w:rPr>
              <w:t>GGA</w:t>
            </w:r>
            <w:r w:rsidR="001303EA">
              <w:rPr>
                <w:rFonts w:ascii="Arial" w:eastAsia="Times New Roman" w:hAnsi="Arial" w:cs="Arial"/>
                <w:caps/>
                <w:sz w:val="18"/>
                <w:szCs w:val="18"/>
                <w:u w:val="double"/>
              </w:rPr>
              <w:t>-</w:t>
            </w:r>
            <w:r w:rsidRPr="001303EA">
              <w:rPr>
                <w:rFonts w:ascii="Arial" w:eastAsia="Times New Roman" w:hAnsi="Arial" w:cs="Arial"/>
                <w:caps/>
                <w:sz w:val="18"/>
                <w:szCs w:val="18"/>
                <w:u w:val="double"/>
              </w:rPr>
              <w:t>GCC</w:t>
            </w:r>
            <w:r w:rsidR="001303EA">
              <w:rPr>
                <w:rFonts w:ascii="Arial" w:eastAsia="Times New Roman" w:hAnsi="Arial" w:cs="Arial"/>
                <w:caps/>
                <w:sz w:val="18"/>
                <w:szCs w:val="18"/>
                <w:u w:val="double"/>
              </w:rPr>
              <w:t>-</w:t>
            </w:r>
            <w:r w:rsidRPr="001303EA">
              <w:rPr>
                <w:rFonts w:ascii="Arial" w:eastAsia="Times New Roman" w:hAnsi="Arial" w:cs="Arial"/>
                <w:caps/>
                <w:sz w:val="18"/>
                <w:szCs w:val="18"/>
                <w:u w:val="double"/>
              </w:rPr>
              <w:t>AAT</w:t>
            </w:r>
            <w:r w:rsidR="001303EA">
              <w:rPr>
                <w:rFonts w:ascii="Arial" w:eastAsia="Times New Roman" w:hAnsi="Arial" w:cs="Arial"/>
                <w:caps/>
                <w:sz w:val="18"/>
                <w:szCs w:val="18"/>
                <w:u w:val="double"/>
              </w:rPr>
              <w:t>-</w:t>
            </w:r>
            <w:r w:rsidRPr="001303EA">
              <w:rPr>
                <w:rFonts w:ascii="Arial" w:eastAsia="Times New Roman" w:hAnsi="Arial" w:cs="Arial"/>
                <w:caps/>
                <w:sz w:val="18"/>
                <w:szCs w:val="18"/>
                <w:u w:val="double"/>
              </w:rPr>
              <w:t>GGT</w:t>
            </w:r>
            <w:r w:rsidR="001303EA">
              <w:rPr>
                <w:rFonts w:ascii="Arial" w:eastAsia="Times New Roman" w:hAnsi="Arial" w:cs="Arial"/>
                <w:caps/>
                <w:sz w:val="18"/>
                <w:szCs w:val="18"/>
                <w:u w:val="double"/>
              </w:rPr>
              <w:t>-</w:t>
            </w:r>
            <w:r w:rsidRPr="001303EA">
              <w:rPr>
                <w:rFonts w:ascii="Arial" w:eastAsia="Times New Roman" w:hAnsi="Arial" w:cs="Arial"/>
                <w:caps/>
                <w:sz w:val="18"/>
                <w:szCs w:val="18"/>
                <w:u w:val="double"/>
              </w:rPr>
              <w:t>T-3’</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5259A4C" w14:textId="306EAFFA" w:rsidR="006C0B5D" w:rsidRPr="00806349" w:rsidRDefault="006C0B5D" w:rsidP="007C2DAE">
            <w:pPr>
              <w:jc w:val="center"/>
              <w:rPr>
                <w:rFonts w:ascii="Arial" w:eastAsia="Times New Roman" w:hAnsi="Arial" w:cs="Arial"/>
                <w:sz w:val="18"/>
                <w:szCs w:val="18"/>
                <w:u w:val="double"/>
                <w:lang w:val="en-IE"/>
              </w:rPr>
            </w:pPr>
            <w:r>
              <w:rPr>
                <w:rFonts w:ascii="Arial" w:eastAsia="Times New Roman" w:hAnsi="Arial" w:cs="Arial"/>
                <w:sz w:val="18"/>
                <w:szCs w:val="18"/>
                <w:u w:val="double"/>
                <w:lang w:val="en-IE"/>
              </w:rPr>
              <w:t>291 bp</w:t>
            </w:r>
          </w:p>
        </w:tc>
      </w:tr>
      <w:tr w:rsidR="006C0B5D" w:rsidRPr="000E6029" w14:paraId="65F58A33" w14:textId="77777777" w:rsidTr="001303EA">
        <w:trPr>
          <w:trHeight w:val="270"/>
        </w:trPr>
        <w:tc>
          <w:tcPr>
            <w:tcW w:w="1900" w:type="dxa"/>
            <w:tcBorders>
              <w:top w:val="single" w:sz="4" w:space="0" w:color="auto"/>
              <w:left w:val="nil"/>
              <w:bottom w:val="single" w:sz="4" w:space="0" w:color="auto"/>
              <w:right w:val="single" w:sz="4" w:space="0" w:color="auto"/>
            </w:tcBorders>
            <w:shd w:val="clear" w:color="auto" w:fill="auto"/>
            <w:noWrap/>
            <w:vAlign w:val="center"/>
          </w:tcPr>
          <w:p w14:paraId="11DE41AC" w14:textId="77777777" w:rsidR="006C0B5D" w:rsidRPr="00806349" w:rsidRDefault="006C0B5D" w:rsidP="007C2DAE">
            <w:pPr>
              <w:jc w:val="center"/>
              <w:rPr>
                <w:rFonts w:ascii="Arial" w:eastAsia="Times New Roman" w:hAnsi="Arial" w:cs="Arial"/>
                <w:sz w:val="18"/>
                <w:szCs w:val="18"/>
                <w:u w:val="double"/>
                <w:lang w:val="fr-FR"/>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8A2726" w14:textId="05E91242" w:rsidR="006C0B5D" w:rsidRPr="00806349" w:rsidRDefault="006C0B5D" w:rsidP="007C2DAE">
            <w:pPr>
              <w:jc w:val="center"/>
              <w:rPr>
                <w:rFonts w:ascii="Arial" w:eastAsia="Times New Roman" w:hAnsi="Arial" w:cs="Arial"/>
                <w:sz w:val="18"/>
                <w:szCs w:val="18"/>
                <w:u w:val="double"/>
                <w:lang w:val="en-IE"/>
              </w:rPr>
            </w:pPr>
            <w:r>
              <w:rPr>
                <w:rFonts w:ascii="Arial" w:eastAsia="Times New Roman" w:hAnsi="Arial" w:cs="Arial"/>
                <w:sz w:val="18"/>
                <w:szCs w:val="18"/>
                <w:u w:val="double"/>
                <w:lang w:val="en-IE"/>
              </w:rPr>
              <w:t>Reverse</w:t>
            </w:r>
          </w:p>
        </w:tc>
        <w:tc>
          <w:tcPr>
            <w:tcW w:w="5462" w:type="dxa"/>
            <w:tcBorders>
              <w:top w:val="single" w:sz="4" w:space="0" w:color="auto"/>
              <w:left w:val="nil"/>
              <w:bottom w:val="single" w:sz="4" w:space="0" w:color="auto"/>
              <w:right w:val="single" w:sz="4" w:space="0" w:color="auto"/>
            </w:tcBorders>
            <w:shd w:val="clear" w:color="auto" w:fill="auto"/>
            <w:noWrap/>
            <w:vAlign w:val="center"/>
          </w:tcPr>
          <w:p w14:paraId="4D0C911B" w14:textId="316A6F6F" w:rsidR="006C0B5D" w:rsidRPr="0033377B" w:rsidRDefault="006C0B5D" w:rsidP="007C2DAE">
            <w:pPr>
              <w:jc w:val="center"/>
              <w:rPr>
                <w:rFonts w:ascii="Arial" w:eastAsia="Times New Roman" w:hAnsi="Arial" w:cs="Arial"/>
                <w:caps/>
                <w:sz w:val="18"/>
                <w:szCs w:val="18"/>
                <w:u w:val="double"/>
                <w:lang w:val="en-IE"/>
              </w:rPr>
            </w:pPr>
            <w:r w:rsidRPr="0033377B">
              <w:rPr>
                <w:rFonts w:ascii="Arial" w:eastAsia="Times New Roman" w:hAnsi="Arial" w:cs="Arial"/>
                <w:caps/>
                <w:sz w:val="18"/>
                <w:szCs w:val="18"/>
                <w:u w:val="double"/>
                <w:lang w:val="en-IE"/>
              </w:rPr>
              <w:t>5’-AAT</w:t>
            </w:r>
            <w:r w:rsidR="001303EA" w:rsidRPr="0033377B">
              <w:rPr>
                <w:rFonts w:ascii="Arial" w:eastAsia="Times New Roman" w:hAnsi="Arial" w:cs="Arial"/>
                <w:caps/>
                <w:sz w:val="18"/>
                <w:szCs w:val="18"/>
                <w:u w:val="double"/>
                <w:lang w:val="en-IE"/>
              </w:rPr>
              <w:t>-</w:t>
            </w:r>
            <w:r w:rsidRPr="0033377B">
              <w:rPr>
                <w:rFonts w:ascii="Arial" w:eastAsia="Times New Roman" w:hAnsi="Arial" w:cs="Arial"/>
                <w:caps/>
                <w:sz w:val="18"/>
                <w:szCs w:val="18"/>
                <w:u w:val="double"/>
                <w:lang w:val="en-IE"/>
              </w:rPr>
              <w:t>GTT</w:t>
            </w:r>
            <w:r w:rsidR="001303EA" w:rsidRPr="0033377B">
              <w:rPr>
                <w:rFonts w:ascii="Arial" w:eastAsia="Times New Roman" w:hAnsi="Arial" w:cs="Arial"/>
                <w:caps/>
                <w:sz w:val="18"/>
                <w:szCs w:val="18"/>
                <w:u w:val="double"/>
                <w:lang w:val="en-IE"/>
              </w:rPr>
              <w:t>-</w:t>
            </w:r>
            <w:r w:rsidRPr="0033377B">
              <w:rPr>
                <w:rFonts w:ascii="Arial" w:eastAsia="Times New Roman" w:hAnsi="Arial" w:cs="Arial"/>
                <w:caps/>
                <w:sz w:val="18"/>
                <w:szCs w:val="18"/>
                <w:u w:val="double"/>
                <w:lang w:val="en-IE"/>
              </w:rPr>
              <w:t>GTA</w:t>
            </w:r>
            <w:r w:rsidR="001303EA" w:rsidRPr="0033377B">
              <w:rPr>
                <w:rFonts w:ascii="Arial" w:eastAsia="Times New Roman" w:hAnsi="Arial" w:cs="Arial"/>
                <w:caps/>
                <w:sz w:val="18"/>
                <w:szCs w:val="18"/>
                <w:u w:val="double"/>
                <w:lang w:val="en-IE"/>
              </w:rPr>
              <w:t>-</w:t>
            </w:r>
            <w:r w:rsidRPr="0033377B">
              <w:rPr>
                <w:rFonts w:ascii="Arial" w:eastAsia="Times New Roman" w:hAnsi="Arial" w:cs="Arial"/>
                <w:caps/>
                <w:sz w:val="18"/>
                <w:szCs w:val="18"/>
                <w:u w:val="double"/>
                <w:lang w:val="en-IE"/>
              </w:rPr>
              <w:t>CCG</w:t>
            </w:r>
            <w:r w:rsidR="001303EA" w:rsidRPr="0033377B">
              <w:rPr>
                <w:rFonts w:ascii="Arial" w:eastAsia="Times New Roman" w:hAnsi="Arial" w:cs="Arial"/>
                <w:caps/>
                <w:sz w:val="18"/>
                <w:szCs w:val="18"/>
                <w:u w:val="double"/>
                <w:lang w:val="en-IE"/>
              </w:rPr>
              <w:t>-</w:t>
            </w:r>
            <w:r w:rsidRPr="0033377B">
              <w:rPr>
                <w:rFonts w:ascii="Arial" w:eastAsia="Times New Roman" w:hAnsi="Arial" w:cs="Arial"/>
                <w:caps/>
                <w:sz w:val="18"/>
                <w:szCs w:val="18"/>
                <w:u w:val="double"/>
                <w:lang w:val="en-IE"/>
              </w:rPr>
              <w:t>AAG</w:t>
            </w:r>
            <w:r w:rsidR="001303EA" w:rsidRPr="0033377B">
              <w:rPr>
                <w:rFonts w:ascii="Arial" w:eastAsia="Times New Roman" w:hAnsi="Arial" w:cs="Arial"/>
                <w:caps/>
                <w:sz w:val="18"/>
                <w:szCs w:val="18"/>
                <w:u w:val="double"/>
                <w:lang w:val="en-IE"/>
              </w:rPr>
              <w:t>-</w:t>
            </w:r>
            <w:r w:rsidRPr="0033377B">
              <w:rPr>
                <w:rFonts w:ascii="Arial" w:eastAsia="Times New Roman" w:hAnsi="Arial" w:cs="Arial"/>
                <w:caps/>
                <w:sz w:val="18"/>
                <w:szCs w:val="18"/>
                <w:u w:val="double"/>
                <w:lang w:val="en-IE"/>
              </w:rPr>
              <w:t>TAC</w:t>
            </w:r>
            <w:r w:rsidR="001303EA" w:rsidRPr="0033377B">
              <w:rPr>
                <w:rFonts w:ascii="Arial" w:eastAsia="Times New Roman" w:hAnsi="Arial" w:cs="Arial"/>
                <w:caps/>
                <w:sz w:val="18"/>
                <w:szCs w:val="18"/>
                <w:u w:val="double"/>
                <w:lang w:val="en-IE"/>
              </w:rPr>
              <w:t>-</w:t>
            </w:r>
            <w:r w:rsidRPr="0033377B">
              <w:rPr>
                <w:rFonts w:ascii="Arial" w:eastAsia="Times New Roman" w:hAnsi="Arial" w:cs="Arial"/>
                <w:caps/>
                <w:sz w:val="18"/>
                <w:szCs w:val="18"/>
                <w:u w:val="double"/>
                <w:lang w:val="en-IE"/>
              </w:rPr>
              <w:t>T-3’</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6278A67" w14:textId="77777777" w:rsidR="006C0B5D" w:rsidRPr="0033377B" w:rsidRDefault="006C0B5D" w:rsidP="007C2DAE">
            <w:pPr>
              <w:jc w:val="center"/>
              <w:rPr>
                <w:rFonts w:ascii="Arial" w:eastAsia="Times New Roman" w:hAnsi="Arial" w:cs="Arial"/>
                <w:sz w:val="18"/>
                <w:szCs w:val="18"/>
                <w:u w:val="double"/>
                <w:lang w:val="en-IE"/>
              </w:rPr>
            </w:pPr>
          </w:p>
        </w:tc>
      </w:tr>
      <w:tr w:rsidR="00F815C5" w:rsidRPr="00806349" w14:paraId="1664CB25" w14:textId="77777777" w:rsidTr="001303EA">
        <w:trPr>
          <w:trHeight w:val="270"/>
        </w:trPr>
        <w:tc>
          <w:tcPr>
            <w:tcW w:w="1900" w:type="dxa"/>
            <w:tcBorders>
              <w:top w:val="single" w:sz="4" w:space="0" w:color="auto"/>
              <w:left w:val="nil"/>
              <w:bottom w:val="single" w:sz="4" w:space="0" w:color="auto"/>
              <w:right w:val="single" w:sz="4" w:space="0" w:color="auto"/>
            </w:tcBorders>
            <w:shd w:val="clear" w:color="auto" w:fill="auto"/>
            <w:noWrap/>
            <w:vAlign w:val="center"/>
          </w:tcPr>
          <w:p w14:paraId="476C704C" w14:textId="3250621D" w:rsidR="00F815C5" w:rsidRPr="00806349" w:rsidRDefault="00F815C5" w:rsidP="007C2DAE">
            <w:pPr>
              <w:jc w:val="center"/>
              <w:rPr>
                <w:rFonts w:ascii="Arial" w:eastAsia="Times New Roman" w:hAnsi="Arial" w:cs="Arial"/>
                <w:sz w:val="18"/>
                <w:szCs w:val="18"/>
                <w:u w:val="double"/>
                <w:lang w:val="fr-FR"/>
              </w:rPr>
            </w:pPr>
            <w:r w:rsidRPr="00806349">
              <w:rPr>
                <w:rFonts w:ascii="Arial" w:eastAsia="Times New Roman" w:hAnsi="Arial" w:cs="Arial"/>
                <w:sz w:val="18"/>
                <w:szCs w:val="18"/>
                <w:u w:val="double"/>
                <w:lang w:val="fr-FR"/>
              </w:rPr>
              <w:t>REV gag</w:t>
            </w:r>
            <w:r w:rsidR="004F2EBF" w:rsidRPr="00806349">
              <w:rPr>
                <w:rFonts w:ascii="Arial" w:eastAsia="Times New Roman" w:hAnsi="Arial" w:cs="Arial"/>
                <w:sz w:val="18"/>
                <w:szCs w:val="18"/>
                <w:u w:val="double"/>
                <w:lang w:val="fr-FR"/>
              </w:rPr>
              <w:br/>
            </w:r>
            <w:r w:rsidRPr="00806349">
              <w:rPr>
                <w:rFonts w:ascii="Arial" w:eastAsia="Times New Roman" w:hAnsi="Arial" w:cs="Arial"/>
                <w:sz w:val="18"/>
                <w:szCs w:val="18"/>
                <w:u w:val="double"/>
                <w:lang w:val="fr-FR"/>
              </w:rPr>
              <w:t>(</w:t>
            </w:r>
            <w:proofErr w:type="spellStart"/>
            <w:r w:rsidRPr="00806349">
              <w:rPr>
                <w:rFonts w:ascii="Arial" w:eastAsia="Times New Roman" w:hAnsi="Arial" w:cs="Arial"/>
                <w:sz w:val="18"/>
                <w:szCs w:val="18"/>
                <w:u w:val="double"/>
                <w:lang w:val="fr-FR"/>
              </w:rPr>
              <w:t>Hauck</w:t>
            </w:r>
            <w:proofErr w:type="spellEnd"/>
            <w:r w:rsidRPr="00806349">
              <w:rPr>
                <w:rFonts w:ascii="Arial" w:eastAsia="Times New Roman" w:hAnsi="Arial" w:cs="Arial"/>
                <w:sz w:val="18"/>
                <w:szCs w:val="18"/>
                <w:u w:val="double"/>
                <w:lang w:val="fr-FR"/>
              </w:rPr>
              <w:t xml:space="preserve"> </w:t>
            </w:r>
            <w:r w:rsidRPr="00806349">
              <w:rPr>
                <w:rFonts w:ascii="Arial" w:eastAsia="Times New Roman" w:hAnsi="Arial" w:cs="Arial"/>
                <w:i/>
                <w:iCs/>
                <w:sz w:val="18"/>
                <w:szCs w:val="18"/>
                <w:u w:val="double"/>
                <w:lang w:val="fr-FR"/>
              </w:rPr>
              <w:t>et al</w:t>
            </w:r>
            <w:r w:rsidRPr="00806349">
              <w:rPr>
                <w:rFonts w:ascii="Arial" w:eastAsia="Times New Roman" w:hAnsi="Arial" w:cs="Arial"/>
                <w:sz w:val="18"/>
                <w:szCs w:val="18"/>
                <w:u w:val="double"/>
                <w:lang w:val="fr-FR"/>
              </w:rPr>
              <w:t>.</w:t>
            </w:r>
            <w:r w:rsidR="00D51039" w:rsidRPr="00806349">
              <w:rPr>
                <w:rFonts w:ascii="Arial" w:eastAsia="Times New Roman" w:hAnsi="Arial" w:cs="Arial"/>
                <w:sz w:val="18"/>
                <w:szCs w:val="18"/>
                <w:u w:val="double"/>
                <w:lang w:val="fr-FR"/>
              </w:rPr>
              <w:t>, 2009</w:t>
            </w:r>
            <w:r w:rsidRPr="00806349">
              <w:rPr>
                <w:rFonts w:ascii="Arial" w:eastAsia="Times New Roman" w:hAnsi="Arial" w:cs="Arial"/>
                <w:sz w:val="18"/>
                <w:szCs w:val="18"/>
                <w:u w:val="double"/>
                <w:lang w:val="fr-FR"/>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1CFADD" w14:textId="0849DD90" w:rsidR="00F815C5" w:rsidRPr="00806349" w:rsidRDefault="00F815C5" w:rsidP="007C2DAE">
            <w:pPr>
              <w:jc w:val="center"/>
              <w:rPr>
                <w:rFonts w:ascii="Arial" w:eastAsia="Times New Roman" w:hAnsi="Arial" w:cs="Arial"/>
                <w:sz w:val="18"/>
                <w:szCs w:val="18"/>
                <w:u w:val="double"/>
                <w:lang w:val="en-IE"/>
              </w:rPr>
            </w:pPr>
            <w:r w:rsidRPr="00806349">
              <w:rPr>
                <w:rFonts w:ascii="Arial" w:eastAsia="Times New Roman" w:hAnsi="Arial" w:cs="Arial"/>
                <w:sz w:val="18"/>
                <w:szCs w:val="18"/>
                <w:u w:val="double"/>
                <w:lang w:val="en-IE"/>
              </w:rPr>
              <w:t>Forward</w:t>
            </w:r>
          </w:p>
        </w:tc>
        <w:tc>
          <w:tcPr>
            <w:tcW w:w="5462" w:type="dxa"/>
            <w:tcBorders>
              <w:top w:val="single" w:sz="4" w:space="0" w:color="auto"/>
              <w:left w:val="nil"/>
              <w:bottom w:val="single" w:sz="4" w:space="0" w:color="auto"/>
              <w:right w:val="single" w:sz="4" w:space="0" w:color="auto"/>
            </w:tcBorders>
            <w:shd w:val="clear" w:color="auto" w:fill="auto"/>
            <w:noWrap/>
            <w:vAlign w:val="center"/>
          </w:tcPr>
          <w:p w14:paraId="40D0AF4D" w14:textId="1903424F" w:rsidR="00F815C5" w:rsidRPr="00806349" w:rsidRDefault="00F815C5" w:rsidP="007C2DAE">
            <w:pPr>
              <w:jc w:val="center"/>
              <w:rPr>
                <w:rFonts w:ascii="Arial" w:eastAsia="Times New Roman" w:hAnsi="Arial" w:cs="Arial"/>
                <w:caps/>
                <w:sz w:val="18"/>
                <w:szCs w:val="18"/>
                <w:u w:val="double"/>
                <w:lang w:val="fr-FR"/>
              </w:rPr>
            </w:pPr>
            <w:r w:rsidRPr="00806349">
              <w:rPr>
                <w:rFonts w:ascii="Arial" w:eastAsia="Times New Roman" w:hAnsi="Arial" w:cs="Arial"/>
                <w:caps/>
                <w:sz w:val="18"/>
                <w:szCs w:val="18"/>
                <w:u w:val="double"/>
                <w:lang w:val="fr-FR"/>
              </w:rPr>
              <w:t>5’-</w:t>
            </w:r>
            <w:r w:rsidRPr="00806349">
              <w:rPr>
                <w:rFonts w:ascii="Arial" w:hAnsi="Arial" w:cs="Arial"/>
                <w:caps/>
                <w:sz w:val="18"/>
                <w:szCs w:val="18"/>
                <w:u w:val="double"/>
                <w:lang w:val="fr-FR" w:eastAsia="en-US"/>
              </w:rPr>
              <w:t>gtt</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ttc</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tat</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aca</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cac</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cag</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cct</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acc</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t-3’</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0E1ED99" w14:textId="2E82EC9D" w:rsidR="00F815C5" w:rsidRPr="00806349" w:rsidRDefault="00D0784F" w:rsidP="007C2DAE">
            <w:pPr>
              <w:jc w:val="center"/>
              <w:rPr>
                <w:rFonts w:ascii="Arial" w:eastAsia="Times New Roman" w:hAnsi="Arial" w:cs="Arial"/>
                <w:sz w:val="18"/>
                <w:szCs w:val="18"/>
                <w:u w:val="double"/>
                <w:lang w:val="en-IE"/>
              </w:rPr>
            </w:pPr>
            <w:r w:rsidRPr="00806349">
              <w:rPr>
                <w:rFonts w:ascii="Arial" w:eastAsia="Times New Roman" w:hAnsi="Arial" w:cs="Arial"/>
                <w:sz w:val="18"/>
                <w:szCs w:val="18"/>
                <w:u w:val="double"/>
                <w:lang w:val="en-IE"/>
              </w:rPr>
              <w:t>111 bp</w:t>
            </w:r>
          </w:p>
        </w:tc>
      </w:tr>
      <w:tr w:rsidR="00F815C5" w:rsidRPr="000D01C8" w14:paraId="5184CFA2" w14:textId="77777777" w:rsidTr="001303EA">
        <w:trPr>
          <w:trHeight w:val="270"/>
        </w:trPr>
        <w:tc>
          <w:tcPr>
            <w:tcW w:w="1900" w:type="dxa"/>
            <w:tcBorders>
              <w:top w:val="single" w:sz="4" w:space="0" w:color="auto"/>
              <w:left w:val="nil"/>
              <w:bottom w:val="single" w:sz="4" w:space="0" w:color="auto"/>
              <w:right w:val="single" w:sz="4" w:space="0" w:color="auto"/>
            </w:tcBorders>
            <w:shd w:val="clear" w:color="auto" w:fill="auto"/>
            <w:noWrap/>
            <w:vAlign w:val="center"/>
          </w:tcPr>
          <w:p w14:paraId="33D205A3" w14:textId="77777777" w:rsidR="00F815C5" w:rsidRPr="00806349" w:rsidRDefault="00F815C5" w:rsidP="007C2DAE">
            <w:pPr>
              <w:jc w:val="center"/>
              <w:rPr>
                <w:rFonts w:ascii="Arial" w:eastAsia="Times New Roman" w:hAnsi="Arial" w:cs="Arial"/>
                <w:sz w:val="18"/>
                <w:szCs w:val="18"/>
                <w:u w:val="double"/>
                <w:lang w:val="en-IE"/>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2F04BA" w14:textId="7629A02F" w:rsidR="00F815C5" w:rsidRPr="00806349" w:rsidRDefault="00D0784F" w:rsidP="007C2DAE">
            <w:pPr>
              <w:jc w:val="center"/>
              <w:rPr>
                <w:rFonts w:ascii="Arial" w:eastAsia="Times New Roman" w:hAnsi="Arial" w:cs="Arial"/>
                <w:sz w:val="18"/>
                <w:szCs w:val="18"/>
                <w:u w:val="double"/>
                <w:lang w:val="en-IE"/>
              </w:rPr>
            </w:pPr>
            <w:r w:rsidRPr="00806349">
              <w:rPr>
                <w:rFonts w:ascii="Arial" w:eastAsia="Times New Roman" w:hAnsi="Arial" w:cs="Arial"/>
                <w:sz w:val="18"/>
                <w:szCs w:val="18"/>
                <w:u w:val="double"/>
                <w:lang w:val="en-IE"/>
              </w:rPr>
              <w:t>Reverse</w:t>
            </w:r>
          </w:p>
        </w:tc>
        <w:tc>
          <w:tcPr>
            <w:tcW w:w="5462" w:type="dxa"/>
            <w:tcBorders>
              <w:top w:val="single" w:sz="4" w:space="0" w:color="auto"/>
              <w:left w:val="nil"/>
              <w:bottom w:val="single" w:sz="4" w:space="0" w:color="auto"/>
              <w:right w:val="single" w:sz="4" w:space="0" w:color="auto"/>
            </w:tcBorders>
            <w:shd w:val="clear" w:color="auto" w:fill="auto"/>
            <w:noWrap/>
            <w:vAlign w:val="center"/>
          </w:tcPr>
          <w:p w14:paraId="75D5041F" w14:textId="79B4C89F" w:rsidR="00F815C5" w:rsidRPr="00806349" w:rsidRDefault="00D0784F" w:rsidP="007C2DAE">
            <w:pPr>
              <w:jc w:val="center"/>
              <w:rPr>
                <w:rFonts w:ascii="Arial" w:eastAsia="Times New Roman" w:hAnsi="Arial" w:cs="Arial"/>
                <w:caps/>
                <w:sz w:val="18"/>
                <w:szCs w:val="18"/>
                <w:u w:val="double"/>
                <w:lang w:val="fr-FR"/>
              </w:rPr>
            </w:pPr>
            <w:r w:rsidRPr="00806349">
              <w:rPr>
                <w:rFonts w:ascii="Arial" w:eastAsia="Times New Roman" w:hAnsi="Arial" w:cs="Arial"/>
                <w:caps/>
                <w:sz w:val="18"/>
                <w:szCs w:val="18"/>
                <w:u w:val="double"/>
                <w:lang w:val="fr-FR"/>
              </w:rPr>
              <w:t>5’-</w:t>
            </w:r>
            <w:r w:rsidRPr="00806349">
              <w:rPr>
                <w:rFonts w:ascii="Arial" w:hAnsi="Arial" w:cs="Arial"/>
                <w:caps/>
                <w:sz w:val="18"/>
                <w:szCs w:val="18"/>
                <w:u w:val="double"/>
                <w:lang w:val="fr-FR" w:eastAsia="en-US"/>
              </w:rPr>
              <w:t>tcc</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tga</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cct</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ccc</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gcc</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tac</w:t>
            </w:r>
            <w:r w:rsidR="00355274" w:rsidRPr="00806349">
              <w:rPr>
                <w:rFonts w:ascii="Arial" w:hAnsi="Arial" w:cs="Arial"/>
                <w:caps/>
                <w:sz w:val="18"/>
                <w:szCs w:val="18"/>
                <w:u w:val="double"/>
                <w:lang w:val="fr-FR" w:eastAsia="en-US"/>
              </w:rPr>
              <w:t>-</w:t>
            </w:r>
            <w:r w:rsidRPr="00806349">
              <w:rPr>
                <w:rFonts w:ascii="Arial" w:hAnsi="Arial" w:cs="Arial"/>
                <w:caps/>
                <w:sz w:val="18"/>
                <w:szCs w:val="18"/>
                <w:u w:val="double"/>
                <w:lang w:val="fr-FR" w:eastAsia="en-US"/>
              </w:rPr>
              <w:t>t-3’</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80C0E14" w14:textId="77777777" w:rsidR="00F815C5" w:rsidRPr="00806349" w:rsidRDefault="00F815C5" w:rsidP="007C2DAE">
            <w:pPr>
              <w:jc w:val="center"/>
              <w:rPr>
                <w:rFonts w:ascii="Arial" w:eastAsia="Times New Roman" w:hAnsi="Arial" w:cs="Arial"/>
                <w:sz w:val="18"/>
                <w:szCs w:val="18"/>
                <w:u w:val="double"/>
                <w:lang w:val="fr-FR"/>
              </w:rPr>
            </w:pPr>
          </w:p>
        </w:tc>
      </w:tr>
      <w:tr w:rsidR="00F815C5" w:rsidRPr="00806349" w14:paraId="1EA9E061" w14:textId="77777777" w:rsidTr="001303EA">
        <w:trPr>
          <w:trHeight w:val="270"/>
        </w:trPr>
        <w:tc>
          <w:tcPr>
            <w:tcW w:w="1900" w:type="dxa"/>
            <w:tcBorders>
              <w:top w:val="single" w:sz="4" w:space="0" w:color="auto"/>
              <w:left w:val="nil"/>
              <w:bottom w:val="single" w:sz="4" w:space="0" w:color="auto"/>
              <w:right w:val="single" w:sz="4" w:space="0" w:color="auto"/>
            </w:tcBorders>
            <w:shd w:val="clear" w:color="auto" w:fill="auto"/>
            <w:noWrap/>
            <w:vAlign w:val="center"/>
          </w:tcPr>
          <w:p w14:paraId="06DB7062" w14:textId="77777777" w:rsidR="00F815C5" w:rsidRPr="00806349" w:rsidRDefault="00F815C5" w:rsidP="007C2DAE">
            <w:pPr>
              <w:jc w:val="center"/>
              <w:rPr>
                <w:rFonts w:ascii="Arial" w:eastAsia="Times New Roman" w:hAnsi="Arial" w:cs="Arial"/>
                <w:sz w:val="18"/>
                <w:szCs w:val="18"/>
                <w:u w:val="double"/>
                <w:lang w:val="fr-FR"/>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7320DE" w14:textId="7E6F5393" w:rsidR="00F815C5" w:rsidRPr="00806349" w:rsidRDefault="00D0784F" w:rsidP="007C2DAE">
            <w:pPr>
              <w:jc w:val="center"/>
              <w:rPr>
                <w:rFonts w:ascii="Arial" w:eastAsia="Times New Roman" w:hAnsi="Arial" w:cs="Arial"/>
                <w:sz w:val="18"/>
                <w:szCs w:val="18"/>
                <w:u w:val="double"/>
                <w:lang w:val="en-IE"/>
              </w:rPr>
            </w:pPr>
            <w:r w:rsidRPr="00806349">
              <w:rPr>
                <w:rFonts w:ascii="Arial" w:eastAsia="Times New Roman" w:hAnsi="Arial" w:cs="Arial"/>
                <w:sz w:val="18"/>
                <w:szCs w:val="18"/>
                <w:u w:val="double"/>
                <w:lang w:val="en-IE"/>
              </w:rPr>
              <w:t>Probe</w:t>
            </w:r>
          </w:p>
        </w:tc>
        <w:tc>
          <w:tcPr>
            <w:tcW w:w="5462" w:type="dxa"/>
            <w:tcBorders>
              <w:top w:val="single" w:sz="4" w:space="0" w:color="auto"/>
              <w:left w:val="nil"/>
              <w:bottom w:val="single" w:sz="4" w:space="0" w:color="auto"/>
              <w:right w:val="single" w:sz="4" w:space="0" w:color="auto"/>
            </w:tcBorders>
            <w:shd w:val="clear" w:color="auto" w:fill="auto"/>
            <w:noWrap/>
            <w:vAlign w:val="center"/>
          </w:tcPr>
          <w:p w14:paraId="7AC0A023" w14:textId="11148001" w:rsidR="00F815C5" w:rsidRPr="00806349" w:rsidRDefault="00D0784F" w:rsidP="007C2DAE">
            <w:pPr>
              <w:jc w:val="center"/>
              <w:rPr>
                <w:rFonts w:ascii="Arial" w:eastAsia="Times New Roman" w:hAnsi="Arial" w:cs="Arial"/>
                <w:caps/>
                <w:sz w:val="18"/>
                <w:szCs w:val="18"/>
                <w:u w:val="double"/>
                <w:lang w:val="en-IE"/>
              </w:rPr>
            </w:pPr>
            <w:r w:rsidRPr="00806349">
              <w:rPr>
                <w:rFonts w:ascii="Arial" w:eastAsia="Times New Roman" w:hAnsi="Arial" w:cs="Arial"/>
                <w:caps/>
                <w:sz w:val="18"/>
                <w:szCs w:val="18"/>
                <w:u w:val="double"/>
                <w:lang w:val="en-IE"/>
              </w:rPr>
              <w:t>5’-FAM-</w:t>
            </w:r>
            <w:r w:rsidRPr="00806349">
              <w:rPr>
                <w:rFonts w:ascii="Arial" w:hAnsi="Arial" w:cs="Arial"/>
                <w:caps/>
                <w:sz w:val="18"/>
                <w:szCs w:val="18"/>
                <w:u w:val="double"/>
                <w:lang w:eastAsia="en-US"/>
              </w:rPr>
              <w:t>ctg</w:t>
            </w:r>
            <w:r w:rsidR="00355274" w:rsidRPr="00806349">
              <w:rPr>
                <w:rFonts w:ascii="Arial" w:hAnsi="Arial" w:cs="Arial"/>
                <w:caps/>
                <w:sz w:val="18"/>
                <w:szCs w:val="18"/>
                <w:u w:val="double"/>
                <w:lang w:eastAsia="en-US"/>
              </w:rPr>
              <w:t>-</w:t>
            </w:r>
            <w:r w:rsidRPr="00806349">
              <w:rPr>
                <w:rFonts w:ascii="Arial" w:hAnsi="Arial" w:cs="Arial"/>
                <w:caps/>
                <w:sz w:val="18"/>
                <w:szCs w:val="18"/>
                <w:u w:val="double"/>
                <w:lang w:eastAsia="en-US"/>
              </w:rPr>
              <w:t>tcc</w:t>
            </w:r>
            <w:r w:rsidR="00355274" w:rsidRPr="00806349">
              <w:rPr>
                <w:rFonts w:ascii="Arial" w:hAnsi="Arial" w:cs="Arial"/>
                <w:caps/>
                <w:sz w:val="18"/>
                <w:szCs w:val="18"/>
                <w:u w:val="double"/>
                <w:lang w:eastAsia="en-US"/>
              </w:rPr>
              <w:t>-</w:t>
            </w:r>
            <w:r w:rsidRPr="00806349">
              <w:rPr>
                <w:rFonts w:ascii="Arial" w:hAnsi="Arial" w:cs="Arial"/>
                <w:caps/>
                <w:sz w:val="18"/>
                <w:szCs w:val="18"/>
                <w:u w:val="double"/>
                <w:lang w:eastAsia="en-US"/>
              </w:rPr>
              <w:t>tca</w:t>
            </w:r>
            <w:r w:rsidR="00355274" w:rsidRPr="00806349">
              <w:rPr>
                <w:rFonts w:ascii="Arial" w:hAnsi="Arial" w:cs="Arial"/>
                <w:caps/>
                <w:sz w:val="18"/>
                <w:szCs w:val="18"/>
                <w:u w:val="double"/>
                <w:lang w:eastAsia="en-US"/>
              </w:rPr>
              <w:t>-</w:t>
            </w:r>
            <w:r w:rsidRPr="00806349">
              <w:rPr>
                <w:rFonts w:ascii="Arial" w:hAnsi="Arial" w:cs="Arial"/>
                <w:caps/>
                <w:sz w:val="18"/>
                <w:szCs w:val="18"/>
                <w:u w:val="double"/>
                <w:lang w:eastAsia="en-US"/>
              </w:rPr>
              <w:t>ccc</w:t>
            </w:r>
            <w:r w:rsidR="00355274" w:rsidRPr="00806349">
              <w:rPr>
                <w:rFonts w:ascii="Arial" w:hAnsi="Arial" w:cs="Arial"/>
                <w:caps/>
                <w:sz w:val="18"/>
                <w:szCs w:val="18"/>
                <w:u w:val="double"/>
                <w:lang w:eastAsia="en-US"/>
              </w:rPr>
              <w:t>-</w:t>
            </w:r>
            <w:r w:rsidRPr="00806349">
              <w:rPr>
                <w:rFonts w:ascii="Arial" w:hAnsi="Arial" w:cs="Arial"/>
                <w:caps/>
                <w:sz w:val="18"/>
                <w:szCs w:val="18"/>
                <w:u w:val="double"/>
                <w:lang w:eastAsia="en-US"/>
              </w:rPr>
              <w:t>tct</w:t>
            </w:r>
            <w:r w:rsidR="00355274" w:rsidRPr="00806349">
              <w:rPr>
                <w:rFonts w:ascii="Arial" w:hAnsi="Arial" w:cs="Arial"/>
                <w:caps/>
                <w:sz w:val="18"/>
                <w:szCs w:val="18"/>
                <w:u w:val="double"/>
                <w:lang w:eastAsia="en-US"/>
              </w:rPr>
              <w:t>-</w:t>
            </w:r>
            <w:r w:rsidRPr="00806349">
              <w:rPr>
                <w:rFonts w:ascii="Arial" w:hAnsi="Arial" w:cs="Arial"/>
                <w:caps/>
                <w:sz w:val="18"/>
                <w:szCs w:val="18"/>
                <w:u w:val="double"/>
                <w:lang w:eastAsia="en-US"/>
              </w:rPr>
              <w:t>ccc</w:t>
            </w:r>
            <w:r w:rsidR="00355274" w:rsidRPr="00806349">
              <w:rPr>
                <w:rFonts w:ascii="Arial" w:hAnsi="Arial" w:cs="Arial"/>
                <w:caps/>
                <w:sz w:val="18"/>
                <w:szCs w:val="18"/>
                <w:u w:val="double"/>
                <w:lang w:eastAsia="en-US"/>
              </w:rPr>
              <w:t>-</w:t>
            </w:r>
            <w:r w:rsidRPr="00806349">
              <w:rPr>
                <w:rFonts w:ascii="Arial" w:hAnsi="Arial" w:cs="Arial"/>
                <w:caps/>
                <w:sz w:val="18"/>
                <w:szCs w:val="18"/>
                <w:u w:val="double"/>
                <w:lang w:eastAsia="en-US"/>
              </w:rPr>
              <w:t>tct</w:t>
            </w:r>
            <w:r w:rsidR="00355274" w:rsidRPr="00806349">
              <w:rPr>
                <w:rFonts w:ascii="Arial" w:hAnsi="Arial" w:cs="Arial"/>
                <w:caps/>
                <w:sz w:val="18"/>
                <w:szCs w:val="18"/>
                <w:u w:val="double"/>
                <w:lang w:eastAsia="en-US"/>
              </w:rPr>
              <w:t>-</w:t>
            </w:r>
            <w:r w:rsidRPr="00806349">
              <w:rPr>
                <w:rFonts w:ascii="Arial" w:hAnsi="Arial" w:cs="Arial"/>
                <w:caps/>
                <w:sz w:val="18"/>
                <w:szCs w:val="18"/>
                <w:u w:val="double"/>
                <w:lang w:eastAsia="en-US"/>
              </w:rPr>
              <w:t>cct</w:t>
            </w:r>
            <w:r w:rsidR="00355274" w:rsidRPr="00806349">
              <w:rPr>
                <w:rFonts w:ascii="Arial" w:hAnsi="Arial" w:cs="Arial"/>
                <w:caps/>
                <w:sz w:val="18"/>
                <w:szCs w:val="18"/>
                <w:u w:val="double"/>
                <w:lang w:eastAsia="en-US"/>
              </w:rPr>
              <w:t>-</w:t>
            </w:r>
            <w:r w:rsidRPr="00806349">
              <w:rPr>
                <w:rFonts w:ascii="Arial" w:hAnsi="Arial" w:cs="Arial"/>
                <w:caps/>
                <w:sz w:val="18"/>
                <w:szCs w:val="18"/>
                <w:u w:val="double"/>
                <w:lang w:eastAsia="en-US"/>
              </w:rPr>
              <w:t>cca-BHQ1-3’</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ACC6775" w14:textId="77777777" w:rsidR="00F815C5" w:rsidRPr="00806349" w:rsidRDefault="00F815C5" w:rsidP="007C2DAE">
            <w:pPr>
              <w:jc w:val="center"/>
              <w:rPr>
                <w:rFonts w:ascii="Arial" w:eastAsia="Times New Roman" w:hAnsi="Arial" w:cs="Arial"/>
                <w:sz w:val="18"/>
                <w:szCs w:val="18"/>
                <w:u w:val="double"/>
                <w:lang w:val="en-IE"/>
              </w:rPr>
            </w:pPr>
          </w:p>
        </w:tc>
      </w:tr>
    </w:tbl>
    <w:p w14:paraId="40C623C9" w14:textId="04A0BF37" w:rsidR="00ED2141" w:rsidRPr="001303EA" w:rsidRDefault="00ED2141" w:rsidP="001303EA">
      <w:pPr>
        <w:pStyle w:val="11Para"/>
        <w:rPr>
          <w:u w:val="double"/>
        </w:rPr>
      </w:pPr>
      <w:r w:rsidRPr="001303EA">
        <w:rPr>
          <w:u w:val="double"/>
        </w:rPr>
        <w:t>Restriction fragment length polymorphism (RFLP) analysis has been reported for comparison of field isolates and vaccine strains of FPV (</w:t>
      </w:r>
      <w:proofErr w:type="spellStart"/>
      <w:r w:rsidRPr="001303EA">
        <w:rPr>
          <w:u w:val="double"/>
        </w:rPr>
        <w:t>Ghildyal</w:t>
      </w:r>
      <w:proofErr w:type="spellEnd"/>
      <w:r w:rsidRPr="001303EA">
        <w:rPr>
          <w:u w:val="double"/>
        </w:rPr>
        <w:t xml:space="preserve"> </w:t>
      </w:r>
      <w:r w:rsidRPr="001303EA">
        <w:rPr>
          <w:i/>
          <w:iCs/>
          <w:u w:val="double"/>
        </w:rPr>
        <w:t>et al</w:t>
      </w:r>
      <w:r w:rsidRPr="001303EA">
        <w:rPr>
          <w:u w:val="double"/>
        </w:rPr>
        <w:t xml:space="preserve">., 1989; </w:t>
      </w:r>
      <w:proofErr w:type="spellStart"/>
      <w:r w:rsidRPr="001303EA">
        <w:rPr>
          <w:u w:val="double"/>
        </w:rPr>
        <w:t>Schnitzlein</w:t>
      </w:r>
      <w:proofErr w:type="spellEnd"/>
      <w:r w:rsidRPr="001303EA">
        <w:rPr>
          <w:u w:val="double"/>
        </w:rPr>
        <w:t xml:space="preserve"> </w:t>
      </w:r>
      <w:r w:rsidRPr="001303EA">
        <w:rPr>
          <w:i/>
          <w:iCs/>
          <w:u w:val="double"/>
        </w:rPr>
        <w:t>et al</w:t>
      </w:r>
      <w:r w:rsidRPr="001303EA">
        <w:rPr>
          <w:u w:val="double"/>
        </w:rPr>
        <w:t>., 1988); however this procedure is not used routinely for detection or diagnosis.</w:t>
      </w:r>
    </w:p>
    <w:p w14:paraId="4073801D" w14:textId="74AA3528" w:rsidR="001D593A" w:rsidRPr="00806349" w:rsidRDefault="001D593A" w:rsidP="00F97C12">
      <w:pPr>
        <w:pStyle w:val="1"/>
        <w:spacing w:before="240"/>
        <w:rPr>
          <w:lang w:val="en-IE"/>
        </w:rPr>
      </w:pPr>
      <w:r w:rsidRPr="00806349">
        <w:rPr>
          <w:lang w:val="en-IE"/>
        </w:rPr>
        <w:t>2.</w:t>
      </w:r>
      <w:r w:rsidRPr="00806349">
        <w:rPr>
          <w:lang w:val="en-IE"/>
        </w:rPr>
        <w:tab/>
        <w:t>Serological tests</w:t>
      </w:r>
    </w:p>
    <w:p w14:paraId="4073801E" w14:textId="57365514" w:rsidR="001D593A" w:rsidRPr="00806349" w:rsidRDefault="001D593A" w:rsidP="007947E2">
      <w:pPr>
        <w:pStyle w:val="para1"/>
        <w:spacing w:after="200"/>
        <w:rPr>
          <w:lang w:val="en-IE"/>
        </w:rPr>
      </w:pPr>
      <w:r w:rsidRPr="00806349">
        <w:rPr>
          <w:lang w:val="en-IE"/>
        </w:rPr>
        <w:t xml:space="preserve">Although both cell-mediated immunity (CMI) and humoral immunity play an important role in poxvirus infections, </w:t>
      </w:r>
      <w:r w:rsidR="00440CCE" w:rsidRPr="00440CCE">
        <w:rPr>
          <w:u w:val="double"/>
          <w:lang w:val="en-IE"/>
        </w:rPr>
        <w:t>CMI tests are not</w:t>
      </w:r>
      <w:r w:rsidR="00440CCE">
        <w:rPr>
          <w:lang w:val="en-IE"/>
        </w:rPr>
        <w:t xml:space="preserve"> </w:t>
      </w:r>
      <w:r w:rsidRPr="00806349">
        <w:rPr>
          <w:lang w:val="en-IE"/>
        </w:rPr>
        <w:t>routine</w:t>
      </w:r>
      <w:r w:rsidR="00440CCE" w:rsidRPr="00440CCE">
        <w:rPr>
          <w:u w:val="double"/>
          <w:lang w:val="en-IE"/>
        </w:rPr>
        <w:t>ly</w:t>
      </w:r>
      <w:r w:rsidRPr="00806349">
        <w:rPr>
          <w:lang w:val="en-IE"/>
        </w:rPr>
        <w:t xml:space="preserve"> </w:t>
      </w:r>
      <w:r w:rsidR="00440CCE" w:rsidRPr="00440CCE">
        <w:rPr>
          <w:u w:val="double"/>
          <w:lang w:val="en-IE"/>
        </w:rPr>
        <w:t>performed</w:t>
      </w:r>
      <w:r w:rsidR="00440CCE" w:rsidRPr="00440CCE">
        <w:rPr>
          <w:strike/>
          <w:lang w:val="en-IE"/>
        </w:rPr>
        <w:t xml:space="preserve"> </w:t>
      </w:r>
      <w:r w:rsidRPr="00440CCE">
        <w:rPr>
          <w:strike/>
          <w:lang w:val="en-IE"/>
        </w:rPr>
        <w:t>use of the CMI test is not convenient</w:t>
      </w:r>
      <w:r w:rsidRPr="00806349">
        <w:rPr>
          <w:lang w:val="en-IE"/>
        </w:rPr>
        <w:t xml:space="preserve">. Therefore, serological tests, such as virus neutralisation (VN), agar gel immunodiffusion (AGID), </w:t>
      </w:r>
      <w:r w:rsidRPr="00440CCE">
        <w:rPr>
          <w:strike/>
          <w:lang w:val="en-IE"/>
        </w:rPr>
        <w:t>passive haemagglutination and fluorescent antibody tests</w:t>
      </w:r>
      <w:r w:rsidRPr="00806349">
        <w:rPr>
          <w:lang w:val="en-IE"/>
        </w:rPr>
        <w:t xml:space="preserve"> as well as the enzyme-linked immunosorbent assay (ELISA), are used to measure specific humoral antibody responses. Evidence of successful immunisation with vaccine can be determined by examining a flock 7–10 days after vaccination for ‘takes’. A take consists of a swelling of the skin or a scab at the site where the vaccine was applied and its presence is evidence of successful immunisation.</w:t>
      </w:r>
    </w:p>
    <w:p w14:paraId="4073801F" w14:textId="77777777" w:rsidR="001D593A" w:rsidRPr="00806349" w:rsidRDefault="001D593A" w:rsidP="007947E2">
      <w:pPr>
        <w:pStyle w:val="11"/>
        <w:spacing w:after="200"/>
        <w:rPr>
          <w:lang w:val="en-IE"/>
        </w:rPr>
      </w:pPr>
      <w:r w:rsidRPr="00806349">
        <w:rPr>
          <w:lang w:val="en-IE"/>
        </w:rPr>
        <w:lastRenderedPageBreak/>
        <w:t>2.1.</w:t>
      </w:r>
      <w:r w:rsidRPr="00806349">
        <w:rPr>
          <w:lang w:val="en-IE"/>
        </w:rPr>
        <w:tab/>
        <w:t>Virus neutralisation</w:t>
      </w:r>
    </w:p>
    <w:p w14:paraId="40738020" w14:textId="77777777" w:rsidR="001D593A" w:rsidRPr="00806349" w:rsidRDefault="001D593A" w:rsidP="007947E2">
      <w:pPr>
        <w:pStyle w:val="11Para"/>
        <w:spacing w:after="200"/>
        <w:rPr>
          <w:lang w:val="en-IE"/>
        </w:rPr>
      </w:pPr>
      <w:r w:rsidRPr="00806349">
        <w:rPr>
          <w:lang w:val="en-IE"/>
        </w:rPr>
        <w:t>After virus/serum interaction, the residual virus activity may be assayed in embryonating chicken eggs or in cell cultures (Morita, 1973). This technically demanding test may not be convenient for routine diagnosis. Only some selected strains of the virus have plaque-forming ability in chicken embryo cells. Neutralising antibodies develop within 1–2 weeks of infection.</w:t>
      </w:r>
    </w:p>
    <w:p w14:paraId="40738021" w14:textId="77777777" w:rsidR="001D593A" w:rsidRPr="00806349" w:rsidRDefault="001D593A" w:rsidP="007947E2">
      <w:pPr>
        <w:pStyle w:val="11"/>
        <w:spacing w:after="200"/>
        <w:rPr>
          <w:lang w:val="en-IE"/>
        </w:rPr>
      </w:pPr>
      <w:r w:rsidRPr="00806349">
        <w:rPr>
          <w:lang w:val="en-IE"/>
        </w:rPr>
        <w:t>2.2.</w:t>
      </w:r>
      <w:r w:rsidRPr="00806349">
        <w:rPr>
          <w:lang w:val="en-IE"/>
        </w:rPr>
        <w:tab/>
        <w:t>Agar gel immunodiffusion</w:t>
      </w:r>
    </w:p>
    <w:p w14:paraId="40738022" w14:textId="10C9BD90" w:rsidR="001D593A" w:rsidRPr="00806349" w:rsidRDefault="001D593A" w:rsidP="007947E2">
      <w:pPr>
        <w:pStyle w:val="11Para"/>
        <w:spacing w:after="200"/>
        <w:rPr>
          <w:lang w:val="en-IE"/>
        </w:rPr>
      </w:pPr>
      <w:r w:rsidRPr="00806349">
        <w:rPr>
          <w:lang w:val="en-IE"/>
        </w:rPr>
        <w:t xml:space="preserve">Precipitating antibodies can be detected by reacting test sera against viral antigens. The antigen can be derived by sonication and homogenisation of infected skin or CAM lesions as well as by treatment of infected cell cultures as described in Section B.2.6 below. The lysed suspension is centrifuged and the supernatant is used as antigen. Gel-diffusion medium is prepared with 1% agar, 8% sodium chloride and 0.01% </w:t>
      </w:r>
      <w:proofErr w:type="spellStart"/>
      <w:r w:rsidRPr="00806349">
        <w:rPr>
          <w:lang w:val="en-IE"/>
        </w:rPr>
        <w:t>thiomersol</w:t>
      </w:r>
      <w:proofErr w:type="spellEnd"/>
      <w:r w:rsidRPr="00806349">
        <w:rPr>
          <w:lang w:val="en-IE"/>
        </w:rPr>
        <w:t xml:space="preserve">. The viral antigen is placed in the central well and the test sera are placed in the peripheral wells. It is important to include a positive and negative control serum. The plates are incubated at room temperature. Precipitation lines develop in 24–48 hours after incubation of the antigen with antibody to homologous or closely related strains. The test is less sensitive than the ELISA (Buscaglia </w:t>
      </w:r>
      <w:r w:rsidRPr="00806349">
        <w:rPr>
          <w:i/>
          <w:iCs/>
          <w:lang w:val="en-IE"/>
        </w:rPr>
        <w:t>et al</w:t>
      </w:r>
      <w:r w:rsidRPr="00806349">
        <w:rPr>
          <w:lang w:val="en-IE"/>
        </w:rPr>
        <w:t>., 1985) or the passive haemagglutination test</w:t>
      </w:r>
      <w:r w:rsidRPr="00806349">
        <w:rPr>
          <w:strike/>
          <w:lang w:val="en-IE"/>
        </w:rPr>
        <w:t xml:space="preserve"> (</w:t>
      </w:r>
      <w:r w:rsidRPr="00806349">
        <w:rPr>
          <w:strike/>
          <w:color w:val="000000"/>
          <w:lang w:val="en-IE"/>
        </w:rPr>
        <w:t>Winterfield &amp; Hitchner, 1965</w:t>
      </w:r>
      <w:r w:rsidRPr="00806349">
        <w:rPr>
          <w:strike/>
          <w:lang w:val="en-IE"/>
        </w:rPr>
        <w:t>)</w:t>
      </w:r>
      <w:r w:rsidRPr="00806349">
        <w:rPr>
          <w:lang w:val="en-IE"/>
        </w:rPr>
        <w:t>.</w:t>
      </w:r>
    </w:p>
    <w:p w14:paraId="40738023" w14:textId="77777777" w:rsidR="001D593A" w:rsidRPr="00806349" w:rsidRDefault="001D593A" w:rsidP="007947E2">
      <w:pPr>
        <w:pStyle w:val="11"/>
        <w:spacing w:after="200"/>
        <w:rPr>
          <w:strike/>
          <w:lang w:val="en-IE"/>
        </w:rPr>
      </w:pPr>
      <w:r w:rsidRPr="00806349">
        <w:rPr>
          <w:strike/>
          <w:lang w:val="en-IE"/>
        </w:rPr>
        <w:t>2.3.</w:t>
      </w:r>
      <w:r w:rsidRPr="00806349">
        <w:rPr>
          <w:strike/>
          <w:lang w:val="en-IE"/>
        </w:rPr>
        <w:tab/>
        <w:t>Passive haemagglutination</w:t>
      </w:r>
    </w:p>
    <w:p w14:paraId="40738024" w14:textId="77777777" w:rsidR="001D593A" w:rsidRPr="00806349" w:rsidRDefault="001D593A" w:rsidP="007947E2">
      <w:pPr>
        <w:pStyle w:val="11Para"/>
        <w:spacing w:after="200"/>
        <w:rPr>
          <w:strike/>
          <w:lang w:val="en-IE"/>
        </w:rPr>
      </w:pPr>
      <w:r w:rsidRPr="00806349">
        <w:rPr>
          <w:strike/>
          <w:lang w:val="en-IE"/>
        </w:rPr>
        <w:t xml:space="preserve">Tanned sheep or horse red blood cells are sensitised with a partially purified </w:t>
      </w:r>
      <w:proofErr w:type="spellStart"/>
      <w:r w:rsidRPr="00806349">
        <w:rPr>
          <w:strike/>
          <w:lang w:val="en-IE"/>
        </w:rPr>
        <w:t>fowlpox</w:t>
      </w:r>
      <w:proofErr w:type="spellEnd"/>
      <w:r w:rsidRPr="00806349">
        <w:rPr>
          <w:strike/>
          <w:lang w:val="en-IE"/>
        </w:rPr>
        <w:t xml:space="preserve"> viral antigen (Tripathy </w:t>
      </w:r>
      <w:r w:rsidRPr="00806349">
        <w:rPr>
          <w:i/>
          <w:iCs/>
          <w:strike/>
          <w:lang w:val="en-IE"/>
        </w:rPr>
        <w:t>et al</w:t>
      </w:r>
      <w:r w:rsidRPr="00806349">
        <w:rPr>
          <w:strike/>
          <w:lang w:val="en-IE"/>
        </w:rPr>
        <w:t>., 1970). The antigen is prepared from infected CAMs or cells as described in Section B.2.6 below. Passive haemagglutination is more sensitive than AGID. The test will give cross-reactions among avian pox viruses.</w:t>
      </w:r>
    </w:p>
    <w:p w14:paraId="40738025" w14:textId="77777777" w:rsidR="001D593A" w:rsidRPr="00806349" w:rsidRDefault="001D593A" w:rsidP="007947E2">
      <w:pPr>
        <w:pStyle w:val="11"/>
        <w:spacing w:after="200"/>
        <w:rPr>
          <w:strike/>
          <w:lang w:val="en-IE"/>
        </w:rPr>
      </w:pPr>
      <w:r w:rsidRPr="00806349">
        <w:rPr>
          <w:strike/>
          <w:lang w:val="en-IE"/>
        </w:rPr>
        <w:t>2.4.</w:t>
      </w:r>
      <w:r w:rsidRPr="00806349">
        <w:rPr>
          <w:strike/>
          <w:lang w:val="en-IE"/>
        </w:rPr>
        <w:tab/>
        <w:t>Fluorescent antibody tests</w:t>
      </w:r>
    </w:p>
    <w:p w14:paraId="40738026" w14:textId="77777777" w:rsidR="001D593A" w:rsidRPr="00806349" w:rsidRDefault="001D593A" w:rsidP="007947E2">
      <w:pPr>
        <w:pStyle w:val="11Para"/>
        <w:spacing w:after="200"/>
        <w:rPr>
          <w:strike/>
          <w:lang w:val="en-IE"/>
        </w:rPr>
      </w:pPr>
      <w:r w:rsidRPr="00806349">
        <w:rPr>
          <w:strike/>
          <w:lang w:val="en-IE"/>
        </w:rPr>
        <w:t xml:space="preserve">Direct or indirect immunofluorescence tests will reveal specific intracytoplasmic fluorescence in infected cells. The latter test is commonly used and involves two steps: the antibody against </w:t>
      </w:r>
      <w:proofErr w:type="spellStart"/>
      <w:r w:rsidRPr="00806349">
        <w:rPr>
          <w:strike/>
          <w:lang w:val="en-IE"/>
        </w:rPr>
        <w:t>fowlpox</w:t>
      </w:r>
      <w:proofErr w:type="spellEnd"/>
      <w:r w:rsidRPr="00806349">
        <w:rPr>
          <w:strike/>
          <w:lang w:val="en-IE"/>
        </w:rPr>
        <w:t xml:space="preserve"> virus is reacted with the antigen in the infected cells, followed by a secondary fluorescein-isothiocyanate-labelled antibody against chicken gamma globulin (e.g. goat anti-chicken). Such labelled antibodies are available commercially. In this regard, formalin-fixed tissue sections can be used effectively for fluorescent antibody tests.</w:t>
      </w:r>
    </w:p>
    <w:p w14:paraId="40738027" w14:textId="77777777" w:rsidR="001D593A" w:rsidRPr="00806349" w:rsidRDefault="001D593A" w:rsidP="007947E2">
      <w:pPr>
        <w:pStyle w:val="11"/>
        <w:spacing w:after="200"/>
        <w:rPr>
          <w:strike/>
          <w:lang w:val="en-IE"/>
        </w:rPr>
      </w:pPr>
      <w:r w:rsidRPr="00806349">
        <w:rPr>
          <w:strike/>
          <w:lang w:val="en-IE"/>
        </w:rPr>
        <w:t>2.5.</w:t>
      </w:r>
      <w:r w:rsidRPr="00806349">
        <w:rPr>
          <w:strike/>
          <w:lang w:val="en-IE"/>
        </w:rPr>
        <w:tab/>
      </w:r>
      <w:proofErr w:type="spellStart"/>
      <w:r w:rsidRPr="00806349">
        <w:rPr>
          <w:strike/>
          <w:lang w:val="en-IE"/>
        </w:rPr>
        <w:t>Immunoperoxidase</w:t>
      </w:r>
      <w:proofErr w:type="spellEnd"/>
    </w:p>
    <w:p w14:paraId="40738028" w14:textId="77777777" w:rsidR="001D593A" w:rsidRPr="00806349" w:rsidRDefault="001D593A" w:rsidP="007947E2">
      <w:pPr>
        <w:pStyle w:val="11Para"/>
        <w:spacing w:after="200"/>
        <w:rPr>
          <w:strike/>
          <w:lang w:val="en-IE"/>
        </w:rPr>
      </w:pPr>
      <w:r w:rsidRPr="00806349">
        <w:rPr>
          <w:strike/>
          <w:lang w:val="en-IE"/>
        </w:rPr>
        <w:t xml:space="preserve">Specific staining of cytoplasmic inclusions is achieved when horseradish-peroxidase-conjugated specific polyclonal antibody against </w:t>
      </w:r>
      <w:proofErr w:type="spellStart"/>
      <w:r w:rsidRPr="00806349">
        <w:rPr>
          <w:strike/>
          <w:lang w:val="en-IE"/>
        </w:rPr>
        <w:t>fowlpoxvirus</w:t>
      </w:r>
      <w:proofErr w:type="spellEnd"/>
      <w:r w:rsidRPr="00806349">
        <w:rPr>
          <w:strike/>
          <w:lang w:val="en-IE"/>
        </w:rPr>
        <w:t xml:space="preserve"> is reacted with the hydrated sections of </w:t>
      </w:r>
      <w:proofErr w:type="spellStart"/>
      <w:r w:rsidRPr="00806349">
        <w:rPr>
          <w:strike/>
          <w:lang w:val="en-IE"/>
        </w:rPr>
        <w:t>fowlpox</w:t>
      </w:r>
      <w:proofErr w:type="spellEnd"/>
      <w:r w:rsidRPr="00806349">
        <w:rPr>
          <w:strike/>
          <w:lang w:val="en-IE"/>
        </w:rPr>
        <w:t xml:space="preserve">-infected fixed tissues (CAM and skin) or cell culture. Similar results are obtained when either polyclonal or monoclonal antibodies are used in an indirect test. An advantage of the technique is that the sections can be examined with the light microscope and can be stored for an extended period without loss of colour (Tripathy </w:t>
      </w:r>
      <w:r w:rsidRPr="00806349">
        <w:rPr>
          <w:i/>
          <w:iCs/>
          <w:strike/>
          <w:lang w:val="en-IE"/>
        </w:rPr>
        <w:t>et al</w:t>
      </w:r>
      <w:r w:rsidRPr="00806349">
        <w:rPr>
          <w:strike/>
          <w:lang w:val="en-IE"/>
        </w:rPr>
        <w:t>., 1973).</w:t>
      </w:r>
    </w:p>
    <w:p w14:paraId="40738029" w14:textId="0916BFD3" w:rsidR="001D593A" w:rsidRPr="00806349" w:rsidRDefault="001D593A" w:rsidP="007947E2">
      <w:pPr>
        <w:pStyle w:val="11"/>
        <w:spacing w:after="200"/>
        <w:rPr>
          <w:lang w:val="en-IE"/>
        </w:rPr>
      </w:pPr>
      <w:r w:rsidRPr="00806349">
        <w:rPr>
          <w:lang w:val="en-IE"/>
        </w:rPr>
        <w:t>2.</w:t>
      </w:r>
      <w:r w:rsidRPr="00806349">
        <w:rPr>
          <w:strike/>
          <w:lang w:val="en-IE"/>
        </w:rPr>
        <w:t>6</w:t>
      </w:r>
      <w:r w:rsidR="00F97C12" w:rsidRPr="00806349">
        <w:rPr>
          <w:strike/>
          <w:lang w:val="en-IE"/>
        </w:rPr>
        <w:t xml:space="preserve"> </w:t>
      </w:r>
      <w:r w:rsidR="00F97C12" w:rsidRPr="00806349">
        <w:rPr>
          <w:u w:val="double"/>
          <w:lang w:val="en-IE"/>
        </w:rPr>
        <w:t>3</w:t>
      </w:r>
      <w:r w:rsidRPr="00806349">
        <w:rPr>
          <w:lang w:val="en-IE"/>
        </w:rPr>
        <w:t>.</w:t>
      </w:r>
      <w:r w:rsidRPr="00806349">
        <w:rPr>
          <w:lang w:val="en-IE"/>
        </w:rPr>
        <w:tab/>
        <w:t>Enzyme-linked immunosorbent assay</w:t>
      </w:r>
    </w:p>
    <w:p w14:paraId="4073802A" w14:textId="444D8317" w:rsidR="001D593A" w:rsidRPr="00806349" w:rsidRDefault="001D593A" w:rsidP="007947E2">
      <w:pPr>
        <w:pStyle w:val="11Para"/>
        <w:spacing w:after="200"/>
        <w:rPr>
          <w:lang w:val="en-IE"/>
        </w:rPr>
      </w:pPr>
      <w:r w:rsidRPr="00806349">
        <w:rPr>
          <w:lang w:val="en-IE"/>
        </w:rPr>
        <w:t xml:space="preserve">ELISAs have been developed to detect humoral antibodies to </w:t>
      </w:r>
      <w:r w:rsidR="00924880" w:rsidRPr="00806349">
        <w:rPr>
          <w:lang w:val="en-IE"/>
        </w:rPr>
        <w:t>FPV</w:t>
      </w:r>
      <w:r w:rsidRPr="00806349">
        <w:rPr>
          <w:lang w:val="en-IE"/>
        </w:rPr>
        <w:t xml:space="preserve">. They are capable of detecting antibody 7–10 days after infection (Buscaglia </w:t>
      </w:r>
      <w:r w:rsidRPr="00806349">
        <w:rPr>
          <w:i/>
          <w:iCs/>
          <w:lang w:val="en-IE"/>
        </w:rPr>
        <w:t>et al</w:t>
      </w:r>
      <w:r w:rsidRPr="00806349">
        <w:rPr>
          <w:lang w:val="en-IE"/>
        </w:rPr>
        <w:t>., 1985)</w:t>
      </w:r>
      <w:r w:rsidRPr="00440CCE">
        <w:rPr>
          <w:strike/>
          <w:lang w:val="en-IE"/>
        </w:rPr>
        <w:t>, but commercial kits for this test are not available</w:t>
      </w:r>
      <w:r w:rsidRPr="00440CCE">
        <w:rPr>
          <w:lang w:val="en-IE"/>
        </w:rPr>
        <w:t>.</w:t>
      </w:r>
    </w:p>
    <w:p w14:paraId="4073802B" w14:textId="434BE4FA" w:rsidR="001D593A" w:rsidRPr="00806349" w:rsidRDefault="00924880" w:rsidP="007947E2">
      <w:pPr>
        <w:pStyle w:val="11Para"/>
        <w:spacing w:after="200"/>
        <w:rPr>
          <w:lang w:val="en-IE"/>
        </w:rPr>
      </w:pPr>
      <w:r w:rsidRPr="00806349">
        <w:rPr>
          <w:lang w:val="en-IE"/>
        </w:rPr>
        <w:t xml:space="preserve">FPV </w:t>
      </w:r>
      <w:r w:rsidR="001D593A" w:rsidRPr="00806349">
        <w:rPr>
          <w:lang w:val="en-IE"/>
        </w:rPr>
        <w:t>antigens are prepared either from infected QT-35 cell monolayers or CAM lesions. Infected QT</w:t>
      </w:r>
      <w:r w:rsidR="00657F0B" w:rsidRPr="00806349">
        <w:rPr>
          <w:lang w:val="en-IE"/>
        </w:rPr>
        <w:t>-35</w:t>
      </w:r>
      <w:r w:rsidR="00A06FEB" w:rsidRPr="00806349">
        <w:rPr>
          <w:lang w:val="en-IE"/>
        </w:rPr>
        <w:t> </w:t>
      </w:r>
      <w:r w:rsidR="001D593A" w:rsidRPr="00806349">
        <w:rPr>
          <w:lang w:val="en-IE"/>
        </w:rPr>
        <w:t>cells are pelleted (700 </w:t>
      </w:r>
      <w:r w:rsidR="001D593A" w:rsidRPr="00806349">
        <w:rPr>
          <w:b/>
          <w:bCs/>
          <w:i/>
          <w:iCs/>
          <w:lang w:val="en-IE"/>
        </w:rPr>
        <w:t>g</w:t>
      </w:r>
      <w:r w:rsidR="001D593A" w:rsidRPr="00806349">
        <w:rPr>
          <w:lang w:val="en-IE"/>
        </w:rPr>
        <w:t xml:space="preserve"> for 10 minutes at 4°C), washed with isotonic buffer (10 mM Tris, pH 8.0, 150 mM NaCl, 5 mM ethylene diamine tetra-acetic acid [EDTA]) followed by lysis in hypotonic buffer (10 mM Tris, pH 8.0, 10 mM </w:t>
      </w:r>
      <w:proofErr w:type="spellStart"/>
      <w:r w:rsidR="001D593A" w:rsidRPr="00806349">
        <w:rPr>
          <w:lang w:val="en-IE"/>
        </w:rPr>
        <w:t>KCl</w:t>
      </w:r>
      <w:proofErr w:type="spellEnd"/>
      <w:r w:rsidR="001D593A" w:rsidRPr="00806349">
        <w:rPr>
          <w:lang w:val="en-IE"/>
        </w:rPr>
        <w:t>, 5 mM EDTA) containing 0.1% Triton X-100 and 0.025% beta-</w:t>
      </w:r>
      <w:proofErr w:type="spellStart"/>
      <w:r w:rsidR="001D593A" w:rsidRPr="00806349">
        <w:rPr>
          <w:lang w:val="en-IE"/>
        </w:rPr>
        <w:t>mercaptoethanol</w:t>
      </w:r>
      <w:proofErr w:type="spellEnd"/>
      <w:r w:rsidR="001D593A" w:rsidRPr="00806349">
        <w:rPr>
          <w:lang w:val="en-IE"/>
        </w:rPr>
        <w:t>. Nuclei and cellular debris are removed by low-speed centrifugation (500 </w:t>
      </w:r>
      <w:r w:rsidR="001D593A" w:rsidRPr="00806349">
        <w:rPr>
          <w:b/>
          <w:bCs/>
          <w:i/>
          <w:iCs/>
          <w:lang w:val="en-IE"/>
        </w:rPr>
        <w:t>g</w:t>
      </w:r>
      <w:r w:rsidR="001D593A" w:rsidRPr="00806349">
        <w:rPr>
          <w:lang w:val="en-IE"/>
        </w:rPr>
        <w:t xml:space="preserve"> for 5 minutes at 4°C) and the resulting supernatant is used as a source of </w:t>
      </w:r>
      <w:r w:rsidRPr="00806349">
        <w:rPr>
          <w:lang w:val="en-IE"/>
        </w:rPr>
        <w:t xml:space="preserve">FPV </w:t>
      </w:r>
      <w:r w:rsidR="001D593A" w:rsidRPr="00806349">
        <w:rPr>
          <w:lang w:val="en-IE"/>
        </w:rPr>
        <w:t>antigens for ELISA</w:t>
      </w:r>
      <w:r w:rsidR="001D593A" w:rsidRPr="00016D4F">
        <w:rPr>
          <w:strike/>
          <w:lang w:val="en-IE"/>
        </w:rPr>
        <w:t xml:space="preserve"> or </w:t>
      </w:r>
      <w:r w:rsidR="001D593A" w:rsidRPr="00016D4F">
        <w:rPr>
          <w:strike/>
          <w:highlight w:val="yellow"/>
          <w:lang w:val="en-IE"/>
        </w:rPr>
        <w:t>immunoblotting</w:t>
      </w:r>
      <w:r w:rsidR="001D593A" w:rsidRPr="00806349">
        <w:rPr>
          <w:lang w:val="en-IE"/>
        </w:rPr>
        <w:t>. To isolate viral antigen from CAM lesions, initial grinding of the lesions with subsequent detergent treatment as described earlier would be required. Virus propagated in chicken embryo fibroblasts and chicken embryo dermis cells has also been used for antigen. The antigen preparation is as described for QT</w:t>
      </w:r>
      <w:r w:rsidR="00657F0B" w:rsidRPr="00806349">
        <w:rPr>
          <w:lang w:val="en-IE"/>
        </w:rPr>
        <w:t>-35</w:t>
      </w:r>
      <w:r w:rsidR="001D593A" w:rsidRPr="00806349">
        <w:rPr>
          <w:lang w:val="en-IE"/>
        </w:rPr>
        <w:t xml:space="preserve"> cells.</w:t>
      </w:r>
    </w:p>
    <w:p w14:paraId="4073802C" w14:textId="32948EEF" w:rsidR="001D593A" w:rsidRPr="00806349" w:rsidRDefault="001D593A" w:rsidP="007947E2">
      <w:pPr>
        <w:pStyle w:val="11Para"/>
        <w:spacing w:after="200"/>
        <w:rPr>
          <w:lang w:val="en-IE"/>
        </w:rPr>
      </w:pPr>
      <w:r w:rsidRPr="00806349">
        <w:rPr>
          <w:lang w:val="en-IE"/>
        </w:rPr>
        <w:t xml:space="preserve">Wells of </w:t>
      </w:r>
      <w:proofErr w:type="spellStart"/>
      <w:r w:rsidRPr="00806349">
        <w:rPr>
          <w:lang w:val="en-IE"/>
        </w:rPr>
        <w:t>microtitre</w:t>
      </w:r>
      <w:proofErr w:type="spellEnd"/>
      <w:r w:rsidRPr="00806349">
        <w:rPr>
          <w:lang w:val="en-IE"/>
        </w:rPr>
        <w:t xml:space="preserve"> plates are coated with 1 µg of soluble </w:t>
      </w:r>
      <w:r w:rsidR="00924880" w:rsidRPr="00806349">
        <w:rPr>
          <w:lang w:val="en-IE"/>
        </w:rPr>
        <w:t xml:space="preserve">FPV </w:t>
      </w:r>
      <w:r w:rsidRPr="00806349">
        <w:rPr>
          <w:lang w:val="en-IE"/>
        </w:rPr>
        <w:t>antigen in 100 µl of coating buffer (15 mM Na</w:t>
      </w:r>
      <w:r w:rsidRPr="00806349">
        <w:rPr>
          <w:szCs w:val="14"/>
          <w:vertAlign w:val="subscript"/>
          <w:lang w:val="en-IE"/>
        </w:rPr>
        <w:t>2</w:t>
      </w:r>
      <w:r w:rsidRPr="00806349">
        <w:rPr>
          <w:lang w:val="en-IE"/>
        </w:rPr>
        <w:t>CO</w:t>
      </w:r>
      <w:r w:rsidRPr="00806349">
        <w:rPr>
          <w:szCs w:val="14"/>
          <w:vertAlign w:val="subscript"/>
          <w:lang w:val="en-IE"/>
        </w:rPr>
        <w:t>3</w:t>
      </w:r>
      <w:r w:rsidRPr="00806349">
        <w:rPr>
          <w:lang w:val="en-IE"/>
        </w:rPr>
        <w:t>, 35 mM NaHCO</w:t>
      </w:r>
      <w:r w:rsidRPr="00806349">
        <w:rPr>
          <w:szCs w:val="14"/>
          <w:vertAlign w:val="subscript"/>
          <w:lang w:val="en-IE"/>
        </w:rPr>
        <w:t>3</w:t>
      </w:r>
      <w:r w:rsidRPr="00806349">
        <w:rPr>
          <w:lang w:val="en-IE"/>
        </w:rPr>
        <w:t xml:space="preserve">, pH 9.6) and incubated overnight at 4°C (Buscaglia </w:t>
      </w:r>
      <w:r w:rsidRPr="00806349">
        <w:rPr>
          <w:i/>
          <w:iCs/>
          <w:lang w:val="en-IE"/>
        </w:rPr>
        <w:t>et al</w:t>
      </w:r>
      <w:r w:rsidRPr="00806349">
        <w:rPr>
          <w:lang w:val="en-IE"/>
        </w:rPr>
        <w:t xml:space="preserve">., 1985; Tripathy </w:t>
      </w:r>
      <w:r w:rsidRPr="00806349">
        <w:rPr>
          <w:i/>
          <w:iCs/>
          <w:lang w:val="en-IE"/>
        </w:rPr>
        <w:t>et al</w:t>
      </w:r>
      <w:r w:rsidRPr="00806349">
        <w:rPr>
          <w:lang w:val="en-IE"/>
        </w:rPr>
        <w:t xml:space="preserve">., 1973). Each well is then rinsed once with wash solution (0.29 M NaCl, 0.05% Tween 20) and then blocked with phosphate buffered saline (PBS, pH 7.4) containing 3% bovine serum albumin (BSA) for 1 hour at 37°C. After one wash, serial dilutions of the test sera in PBS containing 1% BSA are added to the wells. After rocking for 2 hours at 37°C, the wells are washed three times prior to the addition of 100 µl/well horseradish-peroxidase-conjugated goat anti-chicken </w:t>
      </w:r>
      <w:proofErr w:type="spellStart"/>
      <w:r w:rsidRPr="00806349">
        <w:rPr>
          <w:lang w:val="en-IE"/>
        </w:rPr>
        <w:t>Ig</w:t>
      </w:r>
      <w:r w:rsidR="00657F0B" w:rsidRPr="00806349">
        <w:rPr>
          <w:lang w:val="en-IE"/>
        </w:rPr>
        <w:t>Ɣ</w:t>
      </w:r>
      <w:proofErr w:type="spellEnd"/>
      <w:r w:rsidRPr="00806349">
        <w:rPr>
          <w:lang w:val="en-IE"/>
        </w:rPr>
        <w:t xml:space="preserve"> (H+L) antibodies at a recommended dilution in PBS. After 2 hours’ incubation at 37°C and three subsequent washes, 100 µl of the </w:t>
      </w:r>
      <w:r w:rsidRPr="00806349">
        <w:rPr>
          <w:strike/>
          <w:lang w:val="en-IE"/>
        </w:rPr>
        <w:t xml:space="preserve">peroxidase </w:t>
      </w:r>
      <w:r w:rsidR="004D616C" w:rsidRPr="00806349">
        <w:rPr>
          <w:u w:val="double"/>
          <w:lang w:val="en-IE"/>
        </w:rPr>
        <w:t>chromogen/</w:t>
      </w:r>
      <w:r w:rsidRPr="00806349">
        <w:rPr>
          <w:lang w:val="en-IE"/>
        </w:rPr>
        <w:t>substrate TMB</w:t>
      </w:r>
      <w:r w:rsidR="006A260D" w:rsidRPr="00806349">
        <w:rPr>
          <w:szCs w:val="14"/>
          <w:lang w:val="en-IE"/>
        </w:rPr>
        <w:t xml:space="preserve"> </w:t>
      </w:r>
      <w:r w:rsidR="006A260D" w:rsidRPr="00806349">
        <w:rPr>
          <w:szCs w:val="14"/>
          <w:u w:val="double"/>
          <w:lang w:val="en-IE"/>
        </w:rPr>
        <w:t>(</w:t>
      </w:r>
      <w:r w:rsidR="006A260D" w:rsidRPr="00806349">
        <w:rPr>
          <w:u w:val="double"/>
          <w:lang w:val="en-IE"/>
        </w:rPr>
        <w:t>tetramethyl benzidine</w:t>
      </w:r>
      <w:r w:rsidR="006A260D" w:rsidRPr="00806349">
        <w:rPr>
          <w:szCs w:val="14"/>
          <w:u w:val="double"/>
          <w:lang w:val="en-IE"/>
        </w:rPr>
        <w:t>)</w:t>
      </w:r>
      <w:r w:rsidRPr="00806349">
        <w:rPr>
          <w:lang w:val="en-IE"/>
        </w:rPr>
        <w:t xml:space="preserve"> is added to each well. </w:t>
      </w:r>
      <w:r w:rsidRPr="00806349">
        <w:rPr>
          <w:lang w:val="en-IE"/>
        </w:rPr>
        <w:lastRenderedPageBreak/>
        <w:t>Reactions are terminated by the addition of 1 M phosphoric acid and absorbance at 450 nm is recorded using an ELISA plate reader.</w:t>
      </w:r>
    </w:p>
    <w:p w14:paraId="4073802D" w14:textId="77777777" w:rsidR="001D593A" w:rsidRPr="00806349" w:rsidRDefault="001D593A" w:rsidP="007947E2">
      <w:pPr>
        <w:pStyle w:val="11"/>
        <w:spacing w:after="200"/>
        <w:rPr>
          <w:strike/>
          <w:lang w:val="en-IE"/>
        </w:rPr>
      </w:pPr>
      <w:r w:rsidRPr="00806349">
        <w:rPr>
          <w:strike/>
          <w:lang w:val="en-IE"/>
        </w:rPr>
        <w:t>2.7.</w:t>
      </w:r>
      <w:r w:rsidRPr="00806349">
        <w:rPr>
          <w:strike/>
          <w:lang w:val="en-IE"/>
        </w:rPr>
        <w:tab/>
        <w:t>Immunoblotting</w:t>
      </w:r>
    </w:p>
    <w:p w14:paraId="4073802E" w14:textId="77777777" w:rsidR="001D593A" w:rsidRPr="00806349" w:rsidRDefault="001D593A" w:rsidP="007B06F9">
      <w:pPr>
        <w:pStyle w:val="11Para"/>
        <w:spacing w:after="480"/>
        <w:rPr>
          <w:strike/>
          <w:color w:val="000000"/>
          <w:lang w:val="en-IE"/>
        </w:rPr>
      </w:pPr>
      <w:r w:rsidRPr="00806349">
        <w:rPr>
          <w:strike/>
          <w:lang w:val="en-IE"/>
        </w:rPr>
        <w:t xml:space="preserve">Antigenic variations between strains of </w:t>
      </w:r>
      <w:proofErr w:type="spellStart"/>
      <w:r w:rsidRPr="00806349">
        <w:rPr>
          <w:strike/>
          <w:lang w:val="en-IE"/>
        </w:rPr>
        <w:t>fowlpox</w:t>
      </w:r>
      <w:proofErr w:type="spellEnd"/>
      <w:r w:rsidRPr="00806349">
        <w:rPr>
          <w:strike/>
          <w:lang w:val="en-IE"/>
        </w:rPr>
        <w:t xml:space="preserve"> virus can be evaluated by means of immunoblotting or Western Blotting. In this method, viral antigens separated by SDS-PAGE (sodium dodecyl sulphate-polyacrylamide gel electrophoresis) are reacted either with polyclonal or monoclonal antibodies against </w:t>
      </w:r>
      <w:proofErr w:type="spellStart"/>
      <w:r w:rsidRPr="00806349">
        <w:rPr>
          <w:strike/>
          <w:lang w:val="en-IE"/>
        </w:rPr>
        <w:t>fowlpox</w:t>
      </w:r>
      <w:proofErr w:type="spellEnd"/>
      <w:r w:rsidRPr="00806349">
        <w:rPr>
          <w:strike/>
          <w:lang w:val="en-IE"/>
        </w:rPr>
        <w:t xml:space="preserve"> virus (</w:t>
      </w:r>
      <w:proofErr w:type="spellStart"/>
      <w:r w:rsidRPr="00806349">
        <w:rPr>
          <w:strike/>
          <w:lang w:val="en-IE"/>
        </w:rPr>
        <w:t>Ghildyal</w:t>
      </w:r>
      <w:proofErr w:type="spellEnd"/>
      <w:r w:rsidRPr="00806349">
        <w:rPr>
          <w:strike/>
          <w:lang w:val="en-IE"/>
        </w:rPr>
        <w:t xml:space="preserve"> </w:t>
      </w:r>
      <w:r w:rsidRPr="00806349">
        <w:rPr>
          <w:i/>
          <w:iCs/>
          <w:strike/>
          <w:lang w:val="en-IE"/>
        </w:rPr>
        <w:t>et al</w:t>
      </w:r>
      <w:r w:rsidRPr="00806349">
        <w:rPr>
          <w:strike/>
          <w:lang w:val="en-IE"/>
        </w:rPr>
        <w:t xml:space="preserve">., 1989; Singh </w:t>
      </w:r>
      <w:r w:rsidRPr="00806349">
        <w:rPr>
          <w:i/>
          <w:iCs/>
          <w:strike/>
          <w:lang w:val="en-IE"/>
        </w:rPr>
        <w:t>et al</w:t>
      </w:r>
      <w:r w:rsidRPr="00806349">
        <w:rPr>
          <w:strike/>
          <w:lang w:val="en-IE"/>
        </w:rPr>
        <w:t xml:space="preserve">., 2003a; </w:t>
      </w:r>
      <w:r w:rsidRPr="00806349">
        <w:rPr>
          <w:strike/>
          <w:color w:val="000000"/>
          <w:lang w:val="en-IE"/>
        </w:rPr>
        <w:t>Singh &amp; Tripathy, 2000). This method is not convenient for routine diagnosis.</w:t>
      </w:r>
    </w:p>
    <w:p w14:paraId="4073802F" w14:textId="66FC6F73" w:rsidR="001D593A" w:rsidRPr="00806349" w:rsidRDefault="001D593A" w:rsidP="007947E2">
      <w:pPr>
        <w:pStyle w:val="A"/>
        <w:rPr>
          <w:lang w:val="en-IE"/>
        </w:rPr>
      </w:pPr>
      <w:r w:rsidRPr="00806349">
        <w:rPr>
          <w:lang w:val="en-IE"/>
        </w:rPr>
        <w:t xml:space="preserve">c.  REQUIREMENTS FOR VACCINES </w:t>
      </w:r>
      <w:r w:rsidRPr="00806349">
        <w:rPr>
          <w:strike/>
          <w:lang w:val="en-IE"/>
        </w:rPr>
        <w:t>AND DIAGNOSTIC BIOLOGICALS</w:t>
      </w:r>
    </w:p>
    <w:p w14:paraId="40738030" w14:textId="77777777" w:rsidR="001D593A" w:rsidRPr="00806349" w:rsidRDefault="001D593A" w:rsidP="007947E2">
      <w:pPr>
        <w:pStyle w:val="1"/>
        <w:rPr>
          <w:lang w:val="en-IE"/>
        </w:rPr>
      </w:pPr>
      <w:r w:rsidRPr="00806349">
        <w:rPr>
          <w:lang w:val="en-IE"/>
        </w:rPr>
        <w:t>1.</w:t>
      </w:r>
      <w:r w:rsidRPr="00806349">
        <w:rPr>
          <w:lang w:val="en-IE"/>
        </w:rPr>
        <w:tab/>
        <w:t>Background</w:t>
      </w:r>
    </w:p>
    <w:p w14:paraId="40738032" w14:textId="3625207F" w:rsidR="001D593A" w:rsidRPr="00806349" w:rsidRDefault="001D593A" w:rsidP="007947E2">
      <w:pPr>
        <w:pStyle w:val="para1"/>
        <w:rPr>
          <w:rFonts w:cs="Times"/>
          <w:lang w:val="en-IE"/>
        </w:rPr>
      </w:pPr>
      <w:r w:rsidRPr="00806349">
        <w:rPr>
          <w:lang w:val="en-IE"/>
        </w:rPr>
        <w:t>Guidelines for the production of veterinary vaccines are given in Chapter 1.1.</w:t>
      </w:r>
      <w:r w:rsidR="007A4832" w:rsidRPr="00806349">
        <w:rPr>
          <w:lang w:val="en-IE"/>
        </w:rPr>
        <w:t>8</w:t>
      </w:r>
      <w:r w:rsidRPr="00806349">
        <w:rPr>
          <w:lang w:val="en-IE"/>
        </w:rPr>
        <w:t xml:space="preserve"> </w:t>
      </w:r>
      <w:r w:rsidRPr="00806349">
        <w:rPr>
          <w:i/>
          <w:iCs/>
          <w:lang w:val="en-IE"/>
        </w:rPr>
        <w:t>Principles of veterinary vaccine production</w:t>
      </w:r>
      <w:r w:rsidRPr="00806349">
        <w:rPr>
          <w:lang w:val="en-IE"/>
        </w:rPr>
        <w:t>. The guidelines given here and in chapter 1.1.</w:t>
      </w:r>
      <w:r w:rsidR="007A4832" w:rsidRPr="00806349">
        <w:rPr>
          <w:lang w:val="en-IE"/>
        </w:rPr>
        <w:t>8</w:t>
      </w:r>
      <w:r w:rsidRPr="00806349">
        <w:rPr>
          <w:lang w:val="en-IE"/>
        </w:rPr>
        <w:t xml:space="preserve"> are intended to be general in nature and may be supplemented by national and regional requirements</w:t>
      </w:r>
      <w:r w:rsidRPr="00806349">
        <w:rPr>
          <w:strike/>
          <w:lang w:val="en-IE"/>
        </w:rPr>
        <w:t>, e.g. guidelines provided in the Veterinary Services Memorandum No. 800.50 of the United States Department of Agriculture, Animal and Plant Health Inspection Service.</w:t>
      </w:r>
    </w:p>
    <w:p w14:paraId="40738033" w14:textId="3D5CC6DE" w:rsidR="001D593A" w:rsidRPr="00806349" w:rsidRDefault="001D593A" w:rsidP="007947E2">
      <w:pPr>
        <w:pStyle w:val="para1"/>
        <w:rPr>
          <w:lang w:val="en-IE"/>
        </w:rPr>
      </w:pPr>
      <w:proofErr w:type="spellStart"/>
      <w:r w:rsidRPr="00806349">
        <w:rPr>
          <w:lang w:val="en-IE"/>
        </w:rPr>
        <w:t>Fowlpox</w:t>
      </w:r>
      <w:proofErr w:type="spellEnd"/>
      <w:r w:rsidRPr="00806349">
        <w:rPr>
          <w:lang w:val="en-IE"/>
        </w:rPr>
        <w:t xml:space="preserve"> and pigeonpox virus vaccines</w:t>
      </w:r>
      <w:r w:rsidR="007F78C9" w:rsidRPr="00806349">
        <w:rPr>
          <w:lang w:val="en-IE"/>
        </w:rPr>
        <w:t xml:space="preserve"> </w:t>
      </w:r>
      <w:r w:rsidR="007F78C9" w:rsidRPr="00806349">
        <w:rPr>
          <w:u w:val="double"/>
          <w:lang w:val="en-IE"/>
        </w:rPr>
        <w:t xml:space="preserve">(Winterfield </w:t>
      </w:r>
      <w:r w:rsidR="007C2DAE" w:rsidRPr="00806349">
        <w:rPr>
          <w:u w:val="double"/>
          <w:lang w:val="en-IE"/>
        </w:rPr>
        <w:t>&amp;</w:t>
      </w:r>
      <w:r w:rsidR="007F78C9" w:rsidRPr="00806349">
        <w:rPr>
          <w:u w:val="double"/>
          <w:lang w:val="en-IE"/>
        </w:rPr>
        <w:t xml:space="preserve"> Hitchner, 1965)</w:t>
      </w:r>
      <w:r w:rsidRPr="00806349">
        <w:rPr>
          <w:lang w:val="en-IE"/>
        </w:rPr>
        <w:t xml:space="preserve"> of chicken embryo or cell culture origin are available from the majority of biological companies that produce poultry vaccines. The vaccines are used in susceptible flocks where the disease has been endemic or has been diagnosed in previous flocks.</w:t>
      </w:r>
      <w:r w:rsidR="004F2EBF" w:rsidRPr="00806349">
        <w:rPr>
          <w:lang w:val="en-IE"/>
        </w:rPr>
        <w:t xml:space="preserve"> </w:t>
      </w:r>
      <w:r w:rsidR="006971E0" w:rsidRPr="00806349">
        <w:rPr>
          <w:u w:val="double"/>
          <w:lang w:val="en-IE"/>
        </w:rPr>
        <w:t>S</w:t>
      </w:r>
      <w:r w:rsidR="006703DB" w:rsidRPr="00806349">
        <w:rPr>
          <w:u w:val="double"/>
          <w:lang w:val="en-IE"/>
        </w:rPr>
        <w:t xml:space="preserve">everal </w:t>
      </w:r>
      <w:r w:rsidR="006971E0" w:rsidRPr="00806349">
        <w:rPr>
          <w:u w:val="double"/>
          <w:lang w:val="en-IE"/>
        </w:rPr>
        <w:t xml:space="preserve">recombinant </w:t>
      </w:r>
      <w:proofErr w:type="spellStart"/>
      <w:r w:rsidR="006703DB" w:rsidRPr="00806349">
        <w:rPr>
          <w:u w:val="double"/>
          <w:lang w:val="en-IE"/>
        </w:rPr>
        <w:t>fowlpox</w:t>
      </w:r>
      <w:proofErr w:type="spellEnd"/>
      <w:r w:rsidR="006703DB" w:rsidRPr="00806349">
        <w:rPr>
          <w:u w:val="double"/>
          <w:lang w:val="en-IE"/>
        </w:rPr>
        <w:t xml:space="preserve"> </w:t>
      </w:r>
      <w:r w:rsidR="00E334CB" w:rsidRPr="00806349">
        <w:rPr>
          <w:u w:val="double"/>
          <w:lang w:val="en-IE"/>
        </w:rPr>
        <w:t xml:space="preserve">vaccines </w:t>
      </w:r>
      <w:r w:rsidR="00F50C5D" w:rsidRPr="00806349">
        <w:rPr>
          <w:u w:val="double"/>
          <w:lang w:val="en-IE"/>
        </w:rPr>
        <w:t xml:space="preserve">are </w:t>
      </w:r>
      <w:r w:rsidR="00E334CB" w:rsidRPr="00806349">
        <w:rPr>
          <w:u w:val="double"/>
          <w:lang w:val="en-IE"/>
        </w:rPr>
        <w:t>available for use</w:t>
      </w:r>
      <w:r w:rsidR="006971E0" w:rsidRPr="00806349">
        <w:rPr>
          <w:u w:val="double"/>
          <w:lang w:val="en-IE"/>
        </w:rPr>
        <w:t xml:space="preserve"> by</w:t>
      </w:r>
      <w:r w:rsidR="00E334CB" w:rsidRPr="00806349">
        <w:rPr>
          <w:u w:val="double"/>
          <w:lang w:val="en-IE"/>
        </w:rPr>
        <w:t xml:space="preserve"> </w:t>
      </w:r>
      <w:r w:rsidR="00E334CB" w:rsidRPr="00806349">
        <w:rPr>
          <w:i/>
          <w:iCs/>
          <w:u w:val="double"/>
          <w:lang w:val="en-IE"/>
        </w:rPr>
        <w:t>in-</w:t>
      </w:r>
      <w:proofErr w:type="spellStart"/>
      <w:r w:rsidR="00E334CB" w:rsidRPr="00806349">
        <w:rPr>
          <w:i/>
          <w:iCs/>
          <w:u w:val="double"/>
          <w:lang w:val="en-IE"/>
        </w:rPr>
        <w:t>ovo</w:t>
      </w:r>
      <w:proofErr w:type="spellEnd"/>
      <w:r w:rsidR="00E334CB" w:rsidRPr="00806349">
        <w:rPr>
          <w:u w:val="double"/>
          <w:lang w:val="en-IE"/>
        </w:rPr>
        <w:t xml:space="preserve">, </w:t>
      </w:r>
      <w:r w:rsidR="00651614" w:rsidRPr="00806349">
        <w:rPr>
          <w:u w:val="double"/>
          <w:lang w:val="en-IE"/>
        </w:rPr>
        <w:t xml:space="preserve">or 1-day-of-age </w:t>
      </w:r>
      <w:r w:rsidR="00E334CB" w:rsidRPr="00806349">
        <w:rPr>
          <w:u w:val="double"/>
          <w:lang w:val="en-IE"/>
        </w:rPr>
        <w:t>subcutaneous or wing-web</w:t>
      </w:r>
      <w:r w:rsidR="006971E0" w:rsidRPr="00806349">
        <w:rPr>
          <w:u w:val="double"/>
          <w:lang w:val="en-IE"/>
        </w:rPr>
        <w:t xml:space="preserve"> administration</w:t>
      </w:r>
      <w:r w:rsidR="00E334CB" w:rsidRPr="00806349">
        <w:rPr>
          <w:u w:val="double"/>
          <w:lang w:val="en-IE"/>
        </w:rPr>
        <w:t xml:space="preserve">. </w:t>
      </w:r>
      <w:r w:rsidR="006971E0" w:rsidRPr="00806349">
        <w:rPr>
          <w:u w:val="double"/>
          <w:lang w:val="en-IE"/>
        </w:rPr>
        <w:t>The recombinant</w:t>
      </w:r>
      <w:r w:rsidR="00E334CB" w:rsidRPr="00806349">
        <w:rPr>
          <w:u w:val="double"/>
          <w:lang w:val="en-IE"/>
        </w:rPr>
        <w:t xml:space="preserve"> poxvirus </w:t>
      </w:r>
      <w:r w:rsidR="006971E0" w:rsidRPr="00806349">
        <w:rPr>
          <w:u w:val="double"/>
          <w:lang w:val="en-IE"/>
        </w:rPr>
        <w:t>vaccines</w:t>
      </w:r>
      <w:r w:rsidR="00E334CB" w:rsidRPr="00806349">
        <w:rPr>
          <w:u w:val="double"/>
          <w:lang w:val="en-IE"/>
        </w:rPr>
        <w:t xml:space="preserve"> include</w:t>
      </w:r>
      <w:r w:rsidR="002A07CF" w:rsidRPr="00806349">
        <w:rPr>
          <w:u w:val="double"/>
          <w:lang w:val="en-IE"/>
        </w:rPr>
        <w:t xml:space="preserve"> gene </w:t>
      </w:r>
      <w:r w:rsidR="006971E0" w:rsidRPr="00806349">
        <w:rPr>
          <w:u w:val="double"/>
          <w:lang w:val="en-IE"/>
        </w:rPr>
        <w:t>inserts</w:t>
      </w:r>
      <w:r w:rsidR="00E334CB" w:rsidRPr="00806349">
        <w:rPr>
          <w:u w:val="double"/>
          <w:lang w:val="en-IE"/>
        </w:rPr>
        <w:t xml:space="preserve"> for </w:t>
      </w:r>
      <w:r w:rsidR="00C2397D" w:rsidRPr="00806349">
        <w:rPr>
          <w:u w:val="double"/>
          <w:lang w:val="en-IE"/>
        </w:rPr>
        <w:t>pox</w:t>
      </w:r>
      <w:r w:rsidR="00E334CB" w:rsidRPr="00806349">
        <w:rPr>
          <w:u w:val="double"/>
          <w:lang w:val="en-IE"/>
        </w:rPr>
        <w:t xml:space="preserve">-ILTV, </w:t>
      </w:r>
      <w:r w:rsidR="00E334CB" w:rsidRPr="00806349">
        <w:rPr>
          <w:i/>
          <w:iCs/>
          <w:u w:val="double"/>
          <w:lang w:val="en-IE"/>
        </w:rPr>
        <w:t xml:space="preserve">Mycoplasma </w:t>
      </w:r>
      <w:proofErr w:type="spellStart"/>
      <w:r w:rsidR="00E334CB" w:rsidRPr="00806349">
        <w:rPr>
          <w:i/>
          <w:iCs/>
          <w:u w:val="double"/>
          <w:lang w:val="en-IE"/>
        </w:rPr>
        <w:t>gallisepticum</w:t>
      </w:r>
      <w:proofErr w:type="spellEnd"/>
      <w:r w:rsidR="00E334CB" w:rsidRPr="00806349">
        <w:rPr>
          <w:u w:val="double"/>
          <w:lang w:val="en-IE"/>
        </w:rPr>
        <w:t xml:space="preserve"> (</w:t>
      </w:r>
      <w:r w:rsidR="00C2397D" w:rsidRPr="00806349">
        <w:rPr>
          <w:u w:val="double"/>
          <w:lang w:val="en-IE"/>
        </w:rPr>
        <w:t>pox</w:t>
      </w:r>
      <w:r w:rsidR="00E334CB" w:rsidRPr="00806349">
        <w:rPr>
          <w:u w:val="double"/>
          <w:lang w:val="en-IE"/>
        </w:rPr>
        <w:t xml:space="preserve">-MG), </w:t>
      </w:r>
      <w:r w:rsidR="00C2397D" w:rsidRPr="00806349">
        <w:rPr>
          <w:u w:val="double"/>
          <w:lang w:val="en-IE"/>
        </w:rPr>
        <w:t xml:space="preserve">avian influenza </w:t>
      </w:r>
      <w:r w:rsidR="00E334CB" w:rsidRPr="00806349">
        <w:rPr>
          <w:u w:val="double"/>
          <w:lang w:val="en-IE"/>
        </w:rPr>
        <w:t xml:space="preserve">H5 (Pox-AIV), or Newcastle </w:t>
      </w:r>
      <w:r w:rsidR="00C2397D" w:rsidRPr="00806349">
        <w:rPr>
          <w:u w:val="double"/>
          <w:lang w:val="en-IE"/>
        </w:rPr>
        <w:t xml:space="preserve">disease virus </w:t>
      </w:r>
      <w:r w:rsidR="00E334CB" w:rsidRPr="00806349">
        <w:rPr>
          <w:u w:val="double"/>
          <w:lang w:val="en-IE"/>
        </w:rPr>
        <w:t>(</w:t>
      </w:r>
      <w:r w:rsidR="00C2397D" w:rsidRPr="00806349">
        <w:rPr>
          <w:u w:val="double"/>
          <w:lang w:val="en-IE"/>
        </w:rPr>
        <w:t>pox</w:t>
      </w:r>
      <w:r w:rsidR="00E334CB" w:rsidRPr="00806349">
        <w:rPr>
          <w:u w:val="double"/>
          <w:lang w:val="en-IE"/>
        </w:rPr>
        <w:t xml:space="preserve">-NDV) </w:t>
      </w:r>
      <w:r w:rsidR="00E334CB" w:rsidRPr="00806349">
        <w:rPr>
          <w:color w:val="000000"/>
          <w:u w:val="double"/>
          <w:lang w:val="en-IE"/>
        </w:rPr>
        <w:t>(Tripathy &amp; Reed, 20</w:t>
      </w:r>
      <w:r w:rsidR="009D3A26" w:rsidRPr="00806349">
        <w:rPr>
          <w:color w:val="000000"/>
          <w:u w:val="double"/>
          <w:lang w:val="en-IE"/>
        </w:rPr>
        <w:t>20</w:t>
      </w:r>
      <w:r w:rsidR="00E334CB" w:rsidRPr="00806349">
        <w:rPr>
          <w:color w:val="000000"/>
          <w:u w:val="double"/>
          <w:lang w:val="en-IE"/>
        </w:rPr>
        <w:t xml:space="preserve">). </w:t>
      </w:r>
      <w:r w:rsidR="006268E2" w:rsidRPr="00806349">
        <w:rPr>
          <w:color w:val="000000"/>
          <w:u w:val="double"/>
          <w:lang w:val="en-IE"/>
        </w:rPr>
        <w:t xml:space="preserve">These recombinant </w:t>
      </w:r>
      <w:r w:rsidR="00A37073" w:rsidRPr="00806349">
        <w:rPr>
          <w:color w:val="000000"/>
          <w:u w:val="double"/>
          <w:lang w:val="en-IE"/>
        </w:rPr>
        <w:t xml:space="preserve">vaccines </w:t>
      </w:r>
      <w:r w:rsidR="002715B5" w:rsidRPr="00806349">
        <w:rPr>
          <w:color w:val="000000"/>
          <w:u w:val="double"/>
          <w:lang w:val="en-IE"/>
        </w:rPr>
        <w:t xml:space="preserve">provide protection against </w:t>
      </w:r>
      <w:r w:rsidR="00A37073" w:rsidRPr="00806349">
        <w:rPr>
          <w:color w:val="000000"/>
          <w:u w:val="double"/>
          <w:lang w:val="en-IE"/>
        </w:rPr>
        <w:t xml:space="preserve">the </w:t>
      </w:r>
      <w:r w:rsidR="00924880" w:rsidRPr="00806349">
        <w:rPr>
          <w:color w:val="000000"/>
          <w:u w:val="double"/>
          <w:lang w:val="en-IE"/>
        </w:rPr>
        <w:t>FPV</w:t>
      </w:r>
      <w:r w:rsidR="002715B5" w:rsidRPr="00806349">
        <w:rPr>
          <w:color w:val="000000"/>
          <w:u w:val="double"/>
          <w:lang w:val="en-IE"/>
        </w:rPr>
        <w:t xml:space="preserve"> </w:t>
      </w:r>
      <w:r w:rsidR="005D78DF" w:rsidRPr="00806349">
        <w:rPr>
          <w:color w:val="000000"/>
          <w:u w:val="double"/>
          <w:lang w:val="en-IE"/>
        </w:rPr>
        <w:t xml:space="preserve">vector and the pathogen of the </w:t>
      </w:r>
      <w:r w:rsidR="00A37073" w:rsidRPr="00806349">
        <w:rPr>
          <w:color w:val="000000"/>
          <w:u w:val="double"/>
          <w:lang w:val="en-IE"/>
        </w:rPr>
        <w:t xml:space="preserve">gene </w:t>
      </w:r>
      <w:r w:rsidR="00651614" w:rsidRPr="00806349">
        <w:rPr>
          <w:color w:val="000000"/>
          <w:u w:val="double"/>
          <w:lang w:val="en-IE"/>
        </w:rPr>
        <w:t>insert.</w:t>
      </w:r>
    </w:p>
    <w:p w14:paraId="40738034" w14:textId="0CE986A1" w:rsidR="001D593A" w:rsidRPr="00806349" w:rsidRDefault="001D593A" w:rsidP="007947E2">
      <w:pPr>
        <w:pStyle w:val="paraA"/>
        <w:rPr>
          <w:rFonts w:cs="Times"/>
          <w:lang w:val="en-IE"/>
        </w:rPr>
      </w:pPr>
      <w:r w:rsidRPr="00806349">
        <w:rPr>
          <w:lang w:val="en-IE"/>
        </w:rPr>
        <w:t xml:space="preserve">Passively acquired immunity should be taken into consideration during vaccination of progeny from flocks that have either had a recent natural infection or been recently vaccinated. As passive immunity </w:t>
      </w:r>
      <w:r w:rsidRPr="00806349">
        <w:rPr>
          <w:color w:val="000000"/>
          <w:lang w:val="en-IE"/>
        </w:rPr>
        <w:t>(for 2–3 weeks)</w:t>
      </w:r>
      <w:r w:rsidRPr="00806349">
        <w:rPr>
          <w:lang w:val="en-IE"/>
        </w:rPr>
        <w:t xml:space="preserve"> may interfere with vaccine virus multiplication, such progeny should be vaccinated only after the decline of passively acquired antibody. </w:t>
      </w:r>
      <w:proofErr w:type="spellStart"/>
      <w:r w:rsidRPr="00806349">
        <w:rPr>
          <w:strike/>
          <w:lang w:val="en-IE"/>
        </w:rPr>
        <w:t>Fowlpox</w:t>
      </w:r>
      <w:proofErr w:type="spellEnd"/>
      <w:r w:rsidRPr="00806349">
        <w:rPr>
          <w:strike/>
          <w:lang w:val="en-IE"/>
        </w:rPr>
        <w:t xml:space="preserve"> vaccine is applied by a wing web stab method.</w:t>
      </w:r>
    </w:p>
    <w:p w14:paraId="40738035" w14:textId="77777777" w:rsidR="001D593A" w:rsidRPr="00806349" w:rsidRDefault="001D593A" w:rsidP="007947E2">
      <w:pPr>
        <w:pStyle w:val="1"/>
        <w:rPr>
          <w:lang w:val="en-IE"/>
        </w:rPr>
      </w:pPr>
      <w:r w:rsidRPr="00806349">
        <w:rPr>
          <w:lang w:val="en-IE"/>
        </w:rPr>
        <w:t>2.</w:t>
      </w:r>
      <w:r w:rsidRPr="00806349">
        <w:rPr>
          <w:lang w:val="en-IE"/>
        </w:rPr>
        <w:tab/>
        <w:t>Outline of production and minimum requirements for vaccines</w:t>
      </w:r>
    </w:p>
    <w:p w14:paraId="40738037" w14:textId="77777777" w:rsidR="001D593A" w:rsidRPr="00806349" w:rsidRDefault="001D593A" w:rsidP="0024300D">
      <w:pPr>
        <w:pStyle w:val="11"/>
        <w:rPr>
          <w:lang w:val="en-IE"/>
        </w:rPr>
      </w:pPr>
      <w:r w:rsidRPr="00806349">
        <w:rPr>
          <w:lang w:val="en-IE"/>
        </w:rPr>
        <w:t>2.1.</w:t>
      </w:r>
      <w:r w:rsidRPr="00806349">
        <w:rPr>
          <w:lang w:val="en-IE"/>
        </w:rPr>
        <w:tab/>
        <w:t>Characteristics of the seed</w:t>
      </w:r>
    </w:p>
    <w:p w14:paraId="4073803B" w14:textId="00B1E5E7" w:rsidR="001D593A" w:rsidRPr="00806349" w:rsidRDefault="001D593A" w:rsidP="0024300D">
      <w:pPr>
        <w:pStyle w:val="11Para"/>
        <w:rPr>
          <w:lang w:val="en-IE"/>
        </w:rPr>
      </w:pPr>
      <w:r w:rsidRPr="00806349">
        <w:rPr>
          <w:lang w:val="en-IE"/>
        </w:rPr>
        <w:t>Procedures described in Chapter 1.1.</w:t>
      </w:r>
      <w:r w:rsidR="007A4832" w:rsidRPr="00806349">
        <w:rPr>
          <w:lang w:val="en-IE"/>
        </w:rPr>
        <w:t>8</w:t>
      </w:r>
      <w:r w:rsidRPr="00806349">
        <w:rPr>
          <w:lang w:val="en-IE"/>
        </w:rPr>
        <w:t xml:space="preserve"> </w:t>
      </w:r>
      <w:r w:rsidRPr="00806349">
        <w:rPr>
          <w:i/>
          <w:iCs/>
          <w:lang w:val="en-IE"/>
        </w:rPr>
        <w:t>Principles of veterinary vaccine production</w:t>
      </w:r>
      <w:r w:rsidRPr="00806349">
        <w:rPr>
          <w:lang w:val="en-IE"/>
        </w:rPr>
        <w:t xml:space="preserve"> and in Chapter 1.1.</w:t>
      </w:r>
      <w:r w:rsidR="007A4832" w:rsidRPr="00806349">
        <w:rPr>
          <w:lang w:val="en-IE"/>
        </w:rPr>
        <w:t>9</w:t>
      </w:r>
      <w:r w:rsidRPr="00806349">
        <w:rPr>
          <w:lang w:val="en-IE"/>
        </w:rPr>
        <w:t xml:space="preserve"> </w:t>
      </w:r>
      <w:r w:rsidRPr="00806349">
        <w:rPr>
          <w:i/>
          <w:iCs/>
          <w:lang w:val="en-IE"/>
        </w:rPr>
        <w:t xml:space="preserve">Tests for sterility and freedom from contamination </w:t>
      </w:r>
      <w:r w:rsidR="007947E2" w:rsidRPr="00806349">
        <w:rPr>
          <w:i/>
          <w:iCs/>
          <w:lang w:val="en-IE"/>
        </w:rPr>
        <w:t>of biological materials intended for veterinary use</w:t>
      </w:r>
      <w:r w:rsidR="007947E2" w:rsidRPr="00806349">
        <w:rPr>
          <w:lang w:val="en-IE"/>
        </w:rPr>
        <w:t xml:space="preserve"> </w:t>
      </w:r>
      <w:r w:rsidRPr="00806349">
        <w:rPr>
          <w:lang w:val="en-IE"/>
        </w:rPr>
        <w:t>must be strictly followed.</w:t>
      </w:r>
    </w:p>
    <w:p w14:paraId="4073803C" w14:textId="77777777" w:rsidR="001D593A" w:rsidRPr="00806349" w:rsidRDefault="001D593A" w:rsidP="009F7D86">
      <w:pPr>
        <w:pStyle w:val="111"/>
        <w:rPr>
          <w:lang w:val="en-IE"/>
        </w:rPr>
      </w:pPr>
      <w:r w:rsidRPr="00806349">
        <w:rPr>
          <w:lang w:val="en-IE"/>
        </w:rPr>
        <w:t>2.1.1.</w:t>
      </w:r>
      <w:r w:rsidRPr="00806349">
        <w:rPr>
          <w:lang w:val="en-IE"/>
        </w:rPr>
        <w:tab/>
        <w:t>Biological characteristics of the master seed</w:t>
      </w:r>
    </w:p>
    <w:p w14:paraId="4073803D" w14:textId="5E8A5A0A" w:rsidR="001D593A" w:rsidRPr="00806349" w:rsidRDefault="001D593A" w:rsidP="009F7D86">
      <w:pPr>
        <w:pStyle w:val="111Para"/>
        <w:rPr>
          <w:lang w:val="en-IE"/>
        </w:rPr>
      </w:pPr>
      <w:r w:rsidRPr="00806349">
        <w:rPr>
          <w:lang w:val="en-IE"/>
        </w:rPr>
        <w:t xml:space="preserve">Live </w:t>
      </w:r>
      <w:r w:rsidR="00924880" w:rsidRPr="00806349">
        <w:rPr>
          <w:lang w:val="en-IE"/>
        </w:rPr>
        <w:t xml:space="preserve">FPV </w:t>
      </w:r>
      <w:r w:rsidRPr="00806349">
        <w:rPr>
          <w:lang w:val="en-IE"/>
        </w:rPr>
        <w:t xml:space="preserve">vaccines of either </w:t>
      </w:r>
      <w:proofErr w:type="spellStart"/>
      <w:r w:rsidRPr="00806349">
        <w:rPr>
          <w:lang w:val="en-IE"/>
        </w:rPr>
        <w:t>fowlpox</w:t>
      </w:r>
      <w:proofErr w:type="spellEnd"/>
      <w:r w:rsidRPr="00806349">
        <w:rPr>
          <w:lang w:val="en-IE"/>
        </w:rPr>
        <w:t xml:space="preserve"> or pigeonpox virus origin are used for prevention of </w:t>
      </w:r>
      <w:proofErr w:type="spellStart"/>
      <w:r w:rsidRPr="00806349">
        <w:rPr>
          <w:lang w:val="en-IE"/>
        </w:rPr>
        <w:t>fowlpox</w:t>
      </w:r>
      <w:proofErr w:type="spellEnd"/>
      <w:r w:rsidRPr="00806349">
        <w:rPr>
          <w:lang w:val="en-IE"/>
        </w:rPr>
        <w:t xml:space="preserve"> in poultry. The virus is propagated either in specific pathogen free (SPF) chicken embryo or in cell culture of avian origin. A master seed virus (MSV) must be established and used according to a seed-lot system. Proper records must be kept of its origin, passage history and characteristics.</w:t>
      </w:r>
    </w:p>
    <w:p w14:paraId="4073803E" w14:textId="0870100B" w:rsidR="001D593A" w:rsidRPr="00806349" w:rsidRDefault="001D593A" w:rsidP="009F7D86">
      <w:pPr>
        <w:pStyle w:val="111"/>
        <w:rPr>
          <w:lang w:val="en-IE"/>
        </w:rPr>
      </w:pPr>
      <w:r w:rsidRPr="00806349">
        <w:rPr>
          <w:lang w:val="en-IE"/>
        </w:rPr>
        <w:t>2.1.2.</w:t>
      </w:r>
      <w:r w:rsidRPr="00806349">
        <w:rPr>
          <w:lang w:val="en-IE"/>
        </w:rPr>
        <w:tab/>
        <w:t>Quality criteria (sterility, purity, freedom from extraneous agents)</w:t>
      </w:r>
    </w:p>
    <w:p w14:paraId="4073803F" w14:textId="77777777" w:rsidR="001D593A" w:rsidRPr="00806349" w:rsidRDefault="001D593A" w:rsidP="009F7D86">
      <w:pPr>
        <w:pStyle w:val="111Para"/>
        <w:rPr>
          <w:rFonts w:ascii="Ottawa" w:hAnsi="Ottawa" w:cs="Ottawa"/>
          <w:sz w:val="19"/>
          <w:szCs w:val="19"/>
          <w:lang w:val="en-IE"/>
        </w:rPr>
      </w:pPr>
      <w:r w:rsidRPr="00806349">
        <w:rPr>
          <w:lang w:val="en-IE"/>
        </w:rPr>
        <w:t>The MSV must be propagated in suitable premises with materials that meet approved standards, and must be tested for freedom from contamination as well as for identity and purity.</w:t>
      </w:r>
    </w:p>
    <w:p w14:paraId="40738040" w14:textId="77777777" w:rsidR="001D593A" w:rsidRPr="00806349" w:rsidRDefault="001D593A" w:rsidP="007947E2">
      <w:pPr>
        <w:pStyle w:val="111"/>
        <w:spacing w:after="100"/>
        <w:rPr>
          <w:lang w:val="en-IE"/>
        </w:rPr>
      </w:pPr>
      <w:r w:rsidRPr="00806349">
        <w:rPr>
          <w:lang w:val="en-IE"/>
        </w:rPr>
        <w:t>2.1.3.</w:t>
      </w:r>
      <w:r w:rsidRPr="00806349">
        <w:rPr>
          <w:lang w:val="en-IE"/>
        </w:rPr>
        <w:tab/>
        <w:t>Validation as a vaccine</w:t>
      </w:r>
    </w:p>
    <w:p w14:paraId="40738041" w14:textId="77777777" w:rsidR="001D593A" w:rsidRPr="00806349" w:rsidRDefault="001D593A" w:rsidP="007947E2">
      <w:pPr>
        <w:pStyle w:val="i"/>
        <w:spacing w:after="100"/>
        <w:rPr>
          <w:lang w:val="en-IE"/>
        </w:rPr>
      </w:pPr>
      <w:r w:rsidRPr="00806349">
        <w:rPr>
          <w:lang w:val="en-IE"/>
        </w:rPr>
        <w:t>i)</w:t>
      </w:r>
      <w:r w:rsidRPr="00806349">
        <w:rPr>
          <w:rFonts w:cs="Times"/>
          <w:lang w:val="en-IE"/>
        </w:rPr>
        <w:tab/>
      </w:r>
      <w:r w:rsidRPr="00806349">
        <w:rPr>
          <w:lang w:val="en-IE"/>
        </w:rPr>
        <w:t>Purity</w:t>
      </w:r>
    </w:p>
    <w:p w14:paraId="40738042" w14:textId="77777777" w:rsidR="001D593A" w:rsidRPr="00806349" w:rsidRDefault="001D593A" w:rsidP="007947E2">
      <w:pPr>
        <w:pStyle w:val="afourthpara"/>
        <w:spacing w:after="200"/>
        <w:rPr>
          <w:lang w:val="en-IE"/>
        </w:rPr>
      </w:pPr>
      <w:r w:rsidRPr="00806349">
        <w:rPr>
          <w:lang w:val="en-IE"/>
        </w:rPr>
        <w:t>The MSV may be neutralised with a specific hyperimmune serum before testing for purity. Because of difficulty in neutralising avian pox virus, it is acceptable to centrifuge the MSV at 1000 </w:t>
      </w:r>
      <w:r w:rsidRPr="00806349">
        <w:rPr>
          <w:b/>
          <w:bCs/>
          <w:i/>
          <w:iCs/>
          <w:lang w:val="en-IE"/>
        </w:rPr>
        <w:t>g</w:t>
      </w:r>
      <w:r w:rsidRPr="00806349">
        <w:rPr>
          <w:lang w:val="en-IE"/>
        </w:rPr>
        <w:t xml:space="preserve"> for 20 minutes, followed by filtration through a 0.2 µm filter. The neutralised or filtered MSV is then used in tests to demonstrate freedom from extraneous agents. These tests should be done in embryonating eggs or avian cell cultures, to demonstrate absence of extraneous virus replication, and in SPF chickens, to demonstrate freedom from antibodies to extraneous agents.</w:t>
      </w:r>
    </w:p>
    <w:p w14:paraId="40738043" w14:textId="77777777" w:rsidR="001D593A" w:rsidRPr="00806349" w:rsidRDefault="001D593A" w:rsidP="007947E2">
      <w:pPr>
        <w:pStyle w:val="i"/>
        <w:spacing w:after="100"/>
        <w:rPr>
          <w:lang w:val="en-IE"/>
        </w:rPr>
      </w:pPr>
      <w:r w:rsidRPr="00806349">
        <w:rPr>
          <w:lang w:val="en-IE"/>
        </w:rPr>
        <w:lastRenderedPageBreak/>
        <w:t>ii)</w:t>
      </w:r>
      <w:r w:rsidRPr="00806349">
        <w:rPr>
          <w:rFonts w:cs="Times"/>
          <w:lang w:val="en-IE"/>
        </w:rPr>
        <w:tab/>
      </w:r>
      <w:r w:rsidRPr="00806349">
        <w:rPr>
          <w:lang w:val="en-IE"/>
        </w:rPr>
        <w:t>Safety</w:t>
      </w:r>
    </w:p>
    <w:p w14:paraId="40738044" w14:textId="77777777" w:rsidR="001D593A" w:rsidRPr="00806349" w:rsidRDefault="001D593A" w:rsidP="007947E2">
      <w:pPr>
        <w:pStyle w:val="afourthpara"/>
        <w:spacing w:after="200"/>
        <w:rPr>
          <w:lang w:val="en-IE"/>
        </w:rPr>
      </w:pPr>
      <w:r w:rsidRPr="00806349">
        <w:rPr>
          <w:lang w:val="en-IE"/>
        </w:rPr>
        <w:t>Vaccines should be prepared only from virus that is a stable attenuated strain or a naturally occurring isolate of low virulence.</w:t>
      </w:r>
    </w:p>
    <w:p w14:paraId="40738045" w14:textId="4227D3DB" w:rsidR="001D593A" w:rsidRPr="00806349" w:rsidRDefault="001D593A" w:rsidP="007947E2">
      <w:pPr>
        <w:pStyle w:val="afourthpara"/>
        <w:spacing w:after="200"/>
        <w:rPr>
          <w:lang w:val="en-IE"/>
        </w:rPr>
      </w:pPr>
      <w:r w:rsidRPr="00806349">
        <w:rPr>
          <w:lang w:val="en-IE"/>
        </w:rPr>
        <w:t xml:space="preserve">The vaccine must be shown to be safe by the recommended route of administration, which is wing web stab, in all ages of susceptible birds. A suitable test is to take ten SPF chickens and inoculate each by piercing the wing web with a needle dipped in the vaccine. The birds are observed for 7–10 days for evidence of ‘takes’ and for the absence of adverse effects attributable to the vaccine. A ‘take’ consists of swelling of the skin or a scab at the site where the vaccine was applied and is evidence of successful vaccination. The safety test should be repeated after at least </w:t>
      </w:r>
      <w:r w:rsidRPr="00440CCE">
        <w:rPr>
          <w:strike/>
          <w:lang w:val="en-IE"/>
        </w:rPr>
        <w:t xml:space="preserve">six </w:t>
      </w:r>
      <w:r w:rsidR="00EE643B" w:rsidRPr="00440CCE">
        <w:rPr>
          <w:u w:val="double"/>
          <w:lang w:val="en-IE"/>
        </w:rPr>
        <w:t>four</w:t>
      </w:r>
      <w:r w:rsidR="00440CCE">
        <w:rPr>
          <w:lang w:val="en-IE"/>
        </w:rPr>
        <w:t xml:space="preserve"> </w:t>
      </w:r>
      <w:r w:rsidRPr="00806349">
        <w:rPr>
          <w:lang w:val="en-IE"/>
        </w:rPr>
        <w:t>serial passages of the virus in SPF chickens to show that there has been no reversion to virulence.</w:t>
      </w:r>
    </w:p>
    <w:p w14:paraId="40738046" w14:textId="77777777" w:rsidR="001D593A" w:rsidRPr="00806349" w:rsidRDefault="001D593A" w:rsidP="007947E2">
      <w:pPr>
        <w:pStyle w:val="i"/>
        <w:spacing w:after="100"/>
        <w:rPr>
          <w:lang w:val="en-IE"/>
        </w:rPr>
      </w:pPr>
      <w:r w:rsidRPr="00806349">
        <w:rPr>
          <w:lang w:val="en-IE"/>
        </w:rPr>
        <w:t>iii)</w:t>
      </w:r>
      <w:r w:rsidRPr="00806349">
        <w:rPr>
          <w:rFonts w:cs="Times"/>
          <w:lang w:val="en-IE"/>
        </w:rPr>
        <w:tab/>
      </w:r>
      <w:r w:rsidRPr="00806349">
        <w:rPr>
          <w:lang w:val="en-IE"/>
        </w:rPr>
        <w:t>Efficacy</w:t>
      </w:r>
    </w:p>
    <w:p w14:paraId="40738047" w14:textId="20AA9C10" w:rsidR="001D593A" w:rsidRPr="00806349" w:rsidRDefault="001D593A" w:rsidP="007947E2">
      <w:pPr>
        <w:pStyle w:val="afourthpara"/>
        <w:spacing w:after="200"/>
        <w:rPr>
          <w:lang w:val="en-IE"/>
        </w:rPr>
      </w:pPr>
      <w:r w:rsidRPr="00806349">
        <w:rPr>
          <w:lang w:val="en-IE"/>
        </w:rPr>
        <w:t xml:space="preserve">Data should be obtained using the highest passage level (fifth passage from the master seed) and the lowest titre of virus to be used in the final product: 20 SPF chickens of the minimum age indicated for vaccination should receive one dose of vaccine by the recommended method. The chickens, together with 20 unvaccinated chickens of the same age and source, should be challenged 3 weeks later by scarification with a virulent strain of </w:t>
      </w:r>
      <w:r w:rsidR="00924880" w:rsidRPr="00806349">
        <w:rPr>
          <w:lang w:val="en-IE"/>
        </w:rPr>
        <w:t>FPV</w:t>
      </w:r>
      <w:r w:rsidRPr="00806349">
        <w:rPr>
          <w:lang w:val="en-IE"/>
        </w:rPr>
        <w:t>. The birds should be observed for 3 weeks. Ninety per cent of the control birds should develop lesions due to the challenge virus and at least 90% of the vaccinated birds should remain free from such lesions.</w:t>
      </w:r>
    </w:p>
    <w:p w14:paraId="40738049" w14:textId="77777777" w:rsidR="001D593A" w:rsidRPr="00806349" w:rsidRDefault="001D593A" w:rsidP="009F7D86">
      <w:pPr>
        <w:pStyle w:val="11"/>
        <w:rPr>
          <w:lang w:val="en-IE"/>
        </w:rPr>
      </w:pPr>
      <w:r w:rsidRPr="00806349">
        <w:rPr>
          <w:lang w:val="en-IE"/>
        </w:rPr>
        <w:t>2.2.</w:t>
      </w:r>
      <w:r w:rsidRPr="00806349">
        <w:rPr>
          <w:lang w:val="en-IE"/>
        </w:rPr>
        <w:tab/>
        <w:t>Method of manufacture</w:t>
      </w:r>
    </w:p>
    <w:p w14:paraId="4073804A" w14:textId="77777777" w:rsidR="001D593A" w:rsidRPr="00806349" w:rsidRDefault="001D593A" w:rsidP="007947E2">
      <w:pPr>
        <w:pStyle w:val="111"/>
        <w:spacing w:after="100"/>
        <w:rPr>
          <w:lang w:val="en-IE"/>
        </w:rPr>
      </w:pPr>
      <w:r w:rsidRPr="00806349">
        <w:rPr>
          <w:lang w:val="en-IE"/>
        </w:rPr>
        <w:t>2.2.1.</w:t>
      </w:r>
      <w:r w:rsidRPr="00806349">
        <w:rPr>
          <w:lang w:val="en-IE"/>
        </w:rPr>
        <w:tab/>
        <w:t>Procedure</w:t>
      </w:r>
    </w:p>
    <w:p w14:paraId="4073804B" w14:textId="77777777" w:rsidR="001D593A" w:rsidRPr="00806349" w:rsidRDefault="001D593A" w:rsidP="007947E2">
      <w:pPr>
        <w:pStyle w:val="111Para"/>
        <w:spacing w:after="200"/>
        <w:rPr>
          <w:lang w:val="en-IE"/>
        </w:rPr>
      </w:pPr>
      <w:r w:rsidRPr="00806349">
        <w:rPr>
          <w:lang w:val="en-IE"/>
        </w:rPr>
        <w:t xml:space="preserve">Vaccine is manufactured on a seed-lot system from the validated MSV. This must be done in approved premises designed to avoid the risk of contamination. All media and cell cultures must be tested to ensure freedom from contamination. </w:t>
      </w:r>
    </w:p>
    <w:p w14:paraId="4073804C" w14:textId="77777777" w:rsidR="001D593A" w:rsidRPr="00806349" w:rsidRDefault="001D593A" w:rsidP="007947E2">
      <w:pPr>
        <w:pStyle w:val="111"/>
        <w:spacing w:after="100"/>
        <w:rPr>
          <w:lang w:val="en-IE"/>
        </w:rPr>
      </w:pPr>
      <w:r w:rsidRPr="00806349">
        <w:rPr>
          <w:lang w:val="en-IE"/>
        </w:rPr>
        <w:t>2.2.2.</w:t>
      </w:r>
      <w:r w:rsidRPr="00806349">
        <w:rPr>
          <w:lang w:val="en-IE"/>
        </w:rPr>
        <w:tab/>
        <w:t xml:space="preserve">Requirements for ingredients </w:t>
      </w:r>
    </w:p>
    <w:p w14:paraId="4073804D" w14:textId="77777777" w:rsidR="001D593A" w:rsidRPr="00806349" w:rsidRDefault="001D593A" w:rsidP="007947E2">
      <w:pPr>
        <w:pStyle w:val="111Para"/>
        <w:spacing w:after="200"/>
        <w:rPr>
          <w:spacing w:val="-2"/>
          <w:lang w:val="en-IE"/>
        </w:rPr>
      </w:pPr>
      <w:r w:rsidRPr="00806349">
        <w:rPr>
          <w:spacing w:val="-2"/>
          <w:lang w:val="en-IE"/>
        </w:rPr>
        <w:t>The MSV may be propagated in SPF chicken embryos, using the CAMs, or in avian cell cultures, such as primary chicken embryo fibroblasts, chicken embryo kidney or chicken embryo dermis.</w:t>
      </w:r>
    </w:p>
    <w:p w14:paraId="4073804E" w14:textId="77777777" w:rsidR="001D593A" w:rsidRPr="00806349" w:rsidRDefault="001D593A" w:rsidP="007947E2">
      <w:pPr>
        <w:pStyle w:val="111"/>
        <w:spacing w:after="100"/>
        <w:rPr>
          <w:lang w:val="en-IE"/>
        </w:rPr>
      </w:pPr>
      <w:r w:rsidRPr="00806349">
        <w:rPr>
          <w:lang w:val="en-IE"/>
        </w:rPr>
        <w:t>2.2.3.</w:t>
      </w:r>
      <w:r w:rsidRPr="00806349">
        <w:rPr>
          <w:lang w:val="en-IE"/>
        </w:rPr>
        <w:tab/>
        <w:t>In-process control</w:t>
      </w:r>
    </w:p>
    <w:p w14:paraId="4073804F" w14:textId="77777777" w:rsidR="001D593A" w:rsidRPr="00806349" w:rsidRDefault="001D593A" w:rsidP="007947E2">
      <w:pPr>
        <w:pStyle w:val="111Para"/>
        <w:spacing w:after="200"/>
        <w:rPr>
          <w:spacing w:val="-4"/>
          <w:lang w:val="en-IE"/>
        </w:rPr>
      </w:pPr>
      <w:r w:rsidRPr="00806349">
        <w:rPr>
          <w:spacing w:val="-4"/>
          <w:lang w:val="en-IE"/>
        </w:rPr>
        <w:t>During the process of validation as a vaccine, the efficacy data must be compared to the virus content of the vaccine. A suitable potency can thus be established. The vaccine should be filled into final containers to ensure that each container has sufficient virus to achieve the specified potency.</w:t>
      </w:r>
    </w:p>
    <w:p w14:paraId="40738051" w14:textId="77777777" w:rsidR="001D593A" w:rsidRPr="00806349" w:rsidRDefault="001D593A" w:rsidP="007947E2">
      <w:pPr>
        <w:pStyle w:val="111"/>
        <w:spacing w:after="100"/>
        <w:rPr>
          <w:lang w:val="en-IE"/>
        </w:rPr>
      </w:pPr>
      <w:r w:rsidRPr="00806349">
        <w:rPr>
          <w:lang w:val="en-IE"/>
        </w:rPr>
        <w:t>2.2.4.</w:t>
      </w:r>
      <w:r w:rsidRPr="00806349">
        <w:rPr>
          <w:lang w:val="en-IE"/>
        </w:rPr>
        <w:tab/>
        <w:t>Final product batch tests</w:t>
      </w:r>
    </w:p>
    <w:p w14:paraId="40738052" w14:textId="77777777" w:rsidR="001D593A" w:rsidRPr="00806349" w:rsidRDefault="001D593A" w:rsidP="007947E2">
      <w:pPr>
        <w:pStyle w:val="i"/>
        <w:spacing w:after="100"/>
        <w:rPr>
          <w:rFonts w:cs="Times"/>
          <w:lang w:val="en-IE"/>
        </w:rPr>
      </w:pPr>
      <w:r w:rsidRPr="00806349">
        <w:rPr>
          <w:lang w:val="en-IE"/>
        </w:rPr>
        <w:t>i)</w:t>
      </w:r>
      <w:r w:rsidRPr="00806349">
        <w:rPr>
          <w:rFonts w:cs="Times"/>
          <w:lang w:val="en-IE"/>
        </w:rPr>
        <w:tab/>
      </w:r>
      <w:r w:rsidRPr="00806349">
        <w:rPr>
          <w:lang w:val="en-IE"/>
        </w:rPr>
        <w:t>Sterility</w:t>
      </w:r>
    </w:p>
    <w:p w14:paraId="40738053" w14:textId="20A73E84" w:rsidR="001D593A" w:rsidRPr="00806349" w:rsidRDefault="001D593A" w:rsidP="007947E2">
      <w:pPr>
        <w:pStyle w:val="afourthpara"/>
        <w:spacing w:after="200"/>
        <w:rPr>
          <w:lang w:val="en-IE"/>
        </w:rPr>
      </w:pPr>
      <w:r w:rsidRPr="00806349">
        <w:rPr>
          <w:lang w:val="en-IE"/>
        </w:rPr>
        <w:t xml:space="preserve">Tests for sterility and freedom from contamination </w:t>
      </w:r>
      <w:r w:rsidR="007947E2" w:rsidRPr="00806349">
        <w:rPr>
          <w:lang w:val="en-IE"/>
        </w:rPr>
        <w:t xml:space="preserve">of biological materials intended for veterinary use </w:t>
      </w:r>
      <w:r w:rsidRPr="00806349">
        <w:rPr>
          <w:lang w:val="en-IE"/>
        </w:rPr>
        <w:t>may be found in the Chapter 1.1.</w:t>
      </w:r>
      <w:r w:rsidR="007A4832" w:rsidRPr="00806349">
        <w:rPr>
          <w:lang w:val="en-IE"/>
        </w:rPr>
        <w:t>9</w:t>
      </w:r>
      <w:r w:rsidRPr="00806349">
        <w:rPr>
          <w:lang w:val="en-IE"/>
        </w:rPr>
        <w:t>.</w:t>
      </w:r>
    </w:p>
    <w:p w14:paraId="40738054" w14:textId="77777777" w:rsidR="001D593A" w:rsidRPr="00806349" w:rsidRDefault="001D593A" w:rsidP="0061666D">
      <w:pPr>
        <w:pStyle w:val="i"/>
        <w:rPr>
          <w:lang w:val="en-IE"/>
        </w:rPr>
      </w:pPr>
      <w:r w:rsidRPr="00806349">
        <w:rPr>
          <w:lang w:val="en-IE"/>
        </w:rPr>
        <w:t>ii)</w:t>
      </w:r>
      <w:r w:rsidRPr="00806349">
        <w:rPr>
          <w:lang w:val="en-IE"/>
        </w:rPr>
        <w:tab/>
        <w:t>Identify</w:t>
      </w:r>
    </w:p>
    <w:p w14:paraId="40738055" w14:textId="77777777" w:rsidR="001D593A" w:rsidRPr="00806349" w:rsidRDefault="001D593A" w:rsidP="007947E2">
      <w:pPr>
        <w:pStyle w:val="afourthpara"/>
        <w:spacing w:after="200"/>
        <w:rPr>
          <w:lang w:val="en-IE"/>
        </w:rPr>
      </w:pPr>
      <w:r w:rsidRPr="00806349">
        <w:rPr>
          <w:lang w:val="en-IE"/>
        </w:rPr>
        <w:t>Identity tests shall demonstrate that no other vaccine strain is present when several strains are propagated in a laboratory for multivalent vaccines.</w:t>
      </w:r>
    </w:p>
    <w:p w14:paraId="40738056" w14:textId="77777777" w:rsidR="001D593A" w:rsidRPr="00806349" w:rsidRDefault="001D593A" w:rsidP="0061666D">
      <w:pPr>
        <w:pStyle w:val="i"/>
        <w:rPr>
          <w:lang w:val="en-IE"/>
        </w:rPr>
      </w:pPr>
      <w:r w:rsidRPr="00806349">
        <w:rPr>
          <w:lang w:val="en-IE"/>
        </w:rPr>
        <w:t>iii)</w:t>
      </w:r>
      <w:r w:rsidRPr="00806349">
        <w:rPr>
          <w:rFonts w:cs="Times"/>
          <w:lang w:val="en-IE"/>
        </w:rPr>
        <w:tab/>
      </w:r>
      <w:r w:rsidRPr="00806349">
        <w:rPr>
          <w:lang w:val="en-IE"/>
        </w:rPr>
        <w:t>Safety</w:t>
      </w:r>
    </w:p>
    <w:p w14:paraId="40738057" w14:textId="776FECC0" w:rsidR="001D593A" w:rsidRPr="00806349" w:rsidRDefault="001D593A" w:rsidP="0061666D">
      <w:pPr>
        <w:pStyle w:val="afourthpara"/>
        <w:rPr>
          <w:lang w:val="en-IE"/>
        </w:rPr>
      </w:pPr>
      <w:r w:rsidRPr="00806349">
        <w:rPr>
          <w:lang w:val="en-IE"/>
        </w:rPr>
        <w:t>The safety test described in Section C.2.1.3 above, except the requirement for six passages in SPF chickens, should be used on each batch of vaccine.</w:t>
      </w:r>
    </w:p>
    <w:p w14:paraId="40738058" w14:textId="77777777" w:rsidR="001D593A" w:rsidRPr="00806349" w:rsidRDefault="001D593A" w:rsidP="0061666D">
      <w:pPr>
        <w:pStyle w:val="i"/>
        <w:rPr>
          <w:lang w:val="en-IE"/>
        </w:rPr>
      </w:pPr>
      <w:r w:rsidRPr="00806349">
        <w:rPr>
          <w:lang w:val="en-IE"/>
        </w:rPr>
        <w:t>iv)</w:t>
      </w:r>
      <w:r w:rsidRPr="00806349">
        <w:rPr>
          <w:rFonts w:cs="Times"/>
          <w:lang w:val="en-IE"/>
        </w:rPr>
        <w:tab/>
      </w:r>
      <w:r w:rsidRPr="00806349">
        <w:rPr>
          <w:lang w:val="en-IE"/>
        </w:rPr>
        <w:t>Potency</w:t>
      </w:r>
    </w:p>
    <w:p w14:paraId="40738059" w14:textId="2156E46B" w:rsidR="001D593A" w:rsidRPr="00806349" w:rsidRDefault="001D593A" w:rsidP="0061666D">
      <w:pPr>
        <w:pStyle w:val="afourthpara"/>
        <w:rPr>
          <w:lang w:val="en-IE"/>
        </w:rPr>
      </w:pPr>
      <w:r w:rsidRPr="00806349">
        <w:rPr>
          <w:lang w:val="en-IE"/>
        </w:rPr>
        <w:t xml:space="preserve">Virus content tests should be carried out using each of at least three containers. The dilutions should span 0–100% infection range, using five-fold dilution steps and at least seven replicates per dilution. Tests should be done in parallel with a standard vaccine, if available. Each lot of vaccine should be titrated in the diluent provided for its use. The virus titre should not normally be higher than 1/10 of the dose at which the vaccine has been shown to be safe and must not be lower than the release titre determined in the test for efficacy. A suitable potency for an attenuated live </w:t>
      </w:r>
      <w:proofErr w:type="spellStart"/>
      <w:r w:rsidRPr="00806349">
        <w:rPr>
          <w:lang w:val="en-IE"/>
        </w:rPr>
        <w:t>fowlpox</w:t>
      </w:r>
      <w:proofErr w:type="spellEnd"/>
      <w:r w:rsidRPr="00806349">
        <w:rPr>
          <w:lang w:val="en-IE"/>
        </w:rPr>
        <w:t xml:space="preserve"> vaccine is likely to be in the region of 10</w:t>
      </w:r>
      <w:r w:rsidRPr="00806349">
        <w:rPr>
          <w:szCs w:val="14"/>
          <w:vertAlign w:val="superscript"/>
          <w:lang w:val="en-IE"/>
        </w:rPr>
        <w:t>5</w:t>
      </w:r>
      <w:r w:rsidRPr="00806349">
        <w:rPr>
          <w:lang w:val="en-IE"/>
        </w:rPr>
        <w:t> EID</w:t>
      </w:r>
      <w:r w:rsidRPr="00806349">
        <w:rPr>
          <w:szCs w:val="14"/>
          <w:vertAlign w:val="subscript"/>
          <w:lang w:val="en-IE"/>
        </w:rPr>
        <w:t>50</w:t>
      </w:r>
      <w:r w:rsidRPr="00806349">
        <w:rPr>
          <w:lang w:val="en-IE"/>
        </w:rPr>
        <w:t xml:space="preserve"> (50% embryo infective dose) per ml.</w:t>
      </w:r>
      <w:r w:rsidR="00B122EB" w:rsidRPr="00806349">
        <w:rPr>
          <w:lang w:val="en-IE"/>
        </w:rPr>
        <w:t xml:space="preserve"> Alternative potency tests may be used in accordance with national regulatory requirements.</w:t>
      </w:r>
    </w:p>
    <w:p w14:paraId="4073805A" w14:textId="62DA1377" w:rsidR="001D593A" w:rsidRPr="00806349" w:rsidRDefault="001D593A" w:rsidP="0061666D">
      <w:pPr>
        <w:pStyle w:val="11"/>
        <w:rPr>
          <w:lang w:val="en-IE"/>
        </w:rPr>
      </w:pPr>
      <w:r w:rsidRPr="00806349">
        <w:rPr>
          <w:lang w:val="en-IE"/>
        </w:rPr>
        <w:lastRenderedPageBreak/>
        <w:t>2.3.</w:t>
      </w:r>
      <w:r w:rsidRPr="00806349">
        <w:rPr>
          <w:lang w:val="en-IE"/>
        </w:rPr>
        <w:tab/>
        <w:t xml:space="preserve">Requirements for </w:t>
      </w:r>
      <w:r w:rsidRPr="00806349">
        <w:rPr>
          <w:strike/>
          <w:lang w:val="en-IE"/>
        </w:rPr>
        <w:t>authorisation/registration/licensing</w:t>
      </w:r>
      <w:r w:rsidR="002A00A7" w:rsidRPr="00806349">
        <w:rPr>
          <w:strike/>
          <w:lang w:val="en-IE"/>
        </w:rPr>
        <w:t xml:space="preserve"> </w:t>
      </w:r>
      <w:r w:rsidR="00A6218B" w:rsidRPr="00806349">
        <w:rPr>
          <w:u w:val="double"/>
          <w:lang w:val="en-IE"/>
        </w:rPr>
        <w:t>regulatory approval</w:t>
      </w:r>
    </w:p>
    <w:p w14:paraId="4073805B" w14:textId="175B2239" w:rsidR="001D593A" w:rsidRPr="00806349" w:rsidRDefault="001D593A" w:rsidP="0061666D">
      <w:pPr>
        <w:pStyle w:val="11Para"/>
        <w:rPr>
          <w:color w:val="000000"/>
          <w:lang w:val="en-IE"/>
        </w:rPr>
      </w:pPr>
      <w:r w:rsidRPr="00806349">
        <w:rPr>
          <w:color w:val="000000"/>
          <w:lang w:val="en-IE"/>
        </w:rPr>
        <w:t xml:space="preserve">For </w:t>
      </w:r>
      <w:r w:rsidRPr="00806349">
        <w:rPr>
          <w:strike/>
          <w:color w:val="000000"/>
          <w:lang w:val="en-IE"/>
        </w:rPr>
        <w:t xml:space="preserve">registration </w:t>
      </w:r>
      <w:r w:rsidR="000C695E" w:rsidRPr="00806349">
        <w:rPr>
          <w:color w:val="000000"/>
          <w:u w:val="double"/>
          <w:lang w:val="en-IE"/>
        </w:rPr>
        <w:t>regu</w:t>
      </w:r>
      <w:r w:rsidR="009D4DB1" w:rsidRPr="00806349">
        <w:rPr>
          <w:color w:val="000000"/>
          <w:u w:val="double"/>
          <w:lang w:val="en-IE"/>
        </w:rPr>
        <w:t>latory approval</w:t>
      </w:r>
      <w:r w:rsidR="002A00A7" w:rsidRPr="00806349">
        <w:rPr>
          <w:color w:val="000000"/>
          <w:lang w:val="en-IE"/>
        </w:rPr>
        <w:t xml:space="preserve"> </w:t>
      </w:r>
      <w:r w:rsidRPr="00806349">
        <w:rPr>
          <w:color w:val="000000"/>
          <w:lang w:val="en-IE"/>
        </w:rPr>
        <w:t>of vaccine, all relevant details concerning manufacture of the vaccine and quality control testing should be submitted to the authorities. This information shall be provided from three consecutive vaccine batches with a volume not less than 1/3 of the typical industrial batch volume.</w:t>
      </w:r>
    </w:p>
    <w:p w14:paraId="4073805C" w14:textId="77777777" w:rsidR="001D593A" w:rsidRPr="00806349" w:rsidRDefault="001D593A" w:rsidP="0061666D">
      <w:pPr>
        <w:pStyle w:val="11Para"/>
        <w:rPr>
          <w:color w:val="000000"/>
          <w:lang w:val="en-IE"/>
        </w:rPr>
      </w:pPr>
      <w:r w:rsidRPr="00806349">
        <w:rPr>
          <w:color w:val="000000"/>
          <w:lang w:val="en-IE"/>
        </w:rPr>
        <w:t xml:space="preserve">In-process controls are part of the manufacturing process. </w:t>
      </w:r>
    </w:p>
    <w:p w14:paraId="4073805D" w14:textId="2AAB8506" w:rsidR="001D593A" w:rsidRPr="00806349" w:rsidRDefault="001D593A" w:rsidP="0061666D">
      <w:pPr>
        <w:pStyle w:val="111"/>
        <w:rPr>
          <w:lang w:val="en-IE"/>
        </w:rPr>
      </w:pPr>
      <w:r w:rsidRPr="00806349">
        <w:rPr>
          <w:lang w:val="en-IE"/>
        </w:rPr>
        <w:t>2.3.</w:t>
      </w:r>
      <w:r w:rsidR="00B27F1A" w:rsidRPr="00806349">
        <w:rPr>
          <w:lang w:val="en-IE"/>
        </w:rPr>
        <w:t>1</w:t>
      </w:r>
      <w:r w:rsidRPr="00806349">
        <w:rPr>
          <w:lang w:val="en-IE"/>
        </w:rPr>
        <w:t>.</w:t>
      </w:r>
      <w:r w:rsidRPr="00806349">
        <w:rPr>
          <w:lang w:val="en-IE"/>
        </w:rPr>
        <w:tab/>
      </w:r>
      <w:r w:rsidRPr="00806349">
        <w:rPr>
          <w:lang w:val="en-IE"/>
        </w:rPr>
        <w:tab/>
        <w:t>Safety requirements</w:t>
      </w:r>
    </w:p>
    <w:p w14:paraId="4073805E" w14:textId="5A3B70F1" w:rsidR="001D593A" w:rsidRPr="00806349" w:rsidRDefault="001D593A" w:rsidP="0061666D">
      <w:pPr>
        <w:pStyle w:val="111Para"/>
        <w:rPr>
          <w:lang w:val="en-IE"/>
        </w:rPr>
      </w:pPr>
      <w:r w:rsidRPr="00806349">
        <w:rPr>
          <w:lang w:val="en-IE"/>
        </w:rPr>
        <w:t xml:space="preserve">Tests use single dose, overdose (for live vaccines only) and repeat doses (taking into account the maximum number of doses for primary vaccination and, if appropriate, the first revaccination/booster vaccination) containing the maximum permitted </w:t>
      </w:r>
      <w:r w:rsidR="00B122EB" w:rsidRPr="00806349">
        <w:rPr>
          <w:lang w:val="en-IE"/>
        </w:rPr>
        <w:t xml:space="preserve">antigenic content </w:t>
      </w:r>
      <w:r w:rsidRPr="00806349">
        <w:rPr>
          <w:lang w:val="en-IE"/>
        </w:rPr>
        <w:t>and according to the case, the maximum number of vaccine strains.</w:t>
      </w:r>
    </w:p>
    <w:p w14:paraId="40738060" w14:textId="55438BAE" w:rsidR="001D593A" w:rsidRPr="00806349" w:rsidRDefault="001D593A" w:rsidP="0061666D">
      <w:pPr>
        <w:pStyle w:val="111"/>
        <w:rPr>
          <w:lang w:val="en-IE"/>
        </w:rPr>
      </w:pPr>
      <w:r w:rsidRPr="00806349">
        <w:rPr>
          <w:lang w:val="en-IE"/>
        </w:rPr>
        <w:t>2.3.</w:t>
      </w:r>
      <w:r w:rsidR="00B27F1A" w:rsidRPr="00806349">
        <w:rPr>
          <w:lang w:val="en-IE"/>
        </w:rPr>
        <w:t>2</w:t>
      </w:r>
      <w:r w:rsidRPr="00806349">
        <w:rPr>
          <w:lang w:val="en-IE"/>
        </w:rPr>
        <w:t>.</w:t>
      </w:r>
      <w:r w:rsidRPr="00806349">
        <w:rPr>
          <w:lang w:val="en-IE"/>
        </w:rPr>
        <w:tab/>
        <w:t>Precautions (hazards)</w:t>
      </w:r>
    </w:p>
    <w:p w14:paraId="40738061" w14:textId="77777777" w:rsidR="001D593A" w:rsidRPr="00806349" w:rsidRDefault="001D593A" w:rsidP="0061666D">
      <w:pPr>
        <w:pStyle w:val="111Para"/>
        <w:rPr>
          <w:lang w:val="en-IE"/>
        </w:rPr>
      </w:pPr>
      <w:r w:rsidRPr="00806349">
        <w:rPr>
          <w:lang w:val="en-IE"/>
        </w:rPr>
        <w:t xml:space="preserve">It is usually recommended not to vaccinate birds that are in lay. Avoid human contact with the live vaccine. Standard </w:t>
      </w:r>
      <w:proofErr w:type="spellStart"/>
      <w:r w:rsidRPr="00806349">
        <w:rPr>
          <w:lang w:val="en-IE"/>
        </w:rPr>
        <w:t>fowlpox</w:t>
      </w:r>
      <w:proofErr w:type="spellEnd"/>
      <w:r w:rsidRPr="00806349">
        <w:rPr>
          <w:lang w:val="en-IE"/>
        </w:rPr>
        <w:t xml:space="preserve"> vaccine is not to be used in pigeons, though they can be vaccinated with pigeon pox vaccine. In many countries, pigeon pox vaccine has been superseded by attenuated live </w:t>
      </w:r>
      <w:proofErr w:type="spellStart"/>
      <w:r w:rsidRPr="00806349">
        <w:rPr>
          <w:lang w:val="en-IE"/>
        </w:rPr>
        <w:t>fowlpox</w:t>
      </w:r>
      <w:proofErr w:type="spellEnd"/>
      <w:r w:rsidRPr="00806349">
        <w:rPr>
          <w:lang w:val="en-IE"/>
        </w:rPr>
        <w:t xml:space="preserve"> vaccine designed for use in day-old chicks. These products have been safely used in pigeons in the absence of an available pigeon pox vaccine</w:t>
      </w:r>
    </w:p>
    <w:p w14:paraId="40738062" w14:textId="43B78404" w:rsidR="001D593A" w:rsidRPr="00806349" w:rsidRDefault="001D593A" w:rsidP="0061666D">
      <w:pPr>
        <w:pStyle w:val="111"/>
        <w:rPr>
          <w:lang w:val="en-IE"/>
        </w:rPr>
      </w:pPr>
      <w:r w:rsidRPr="00806349">
        <w:rPr>
          <w:lang w:val="en-IE"/>
        </w:rPr>
        <w:t>2.3.</w:t>
      </w:r>
      <w:r w:rsidR="00B27F1A" w:rsidRPr="00806349">
        <w:rPr>
          <w:lang w:val="en-IE"/>
        </w:rPr>
        <w:t>3</w:t>
      </w:r>
      <w:r w:rsidRPr="00806349">
        <w:rPr>
          <w:lang w:val="en-IE"/>
        </w:rPr>
        <w:t>.</w:t>
      </w:r>
      <w:r w:rsidRPr="00806349">
        <w:rPr>
          <w:lang w:val="en-IE"/>
        </w:rPr>
        <w:tab/>
        <w:t>Efficacy requirements</w:t>
      </w:r>
    </w:p>
    <w:p w14:paraId="40738063" w14:textId="77777777" w:rsidR="001D593A" w:rsidRPr="00806349" w:rsidRDefault="001D593A" w:rsidP="0061666D">
      <w:pPr>
        <w:pStyle w:val="111Para"/>
        <w:rPr>
          <w:lang w:val="en-IE"/>
        </w:rPr>
      </w:pPr>
      <w:r w:rsidRPr="00806349">
        <w:rPr>
          <w:lang w:val="en-IE"/>
        </w:rPr>
        <w:t>To register a commercial vaccine, a batch or batches produced according to the standard method and containing the minimum amount of antigen or potency value shall prove its efficacy (protection); each future commercial batch shall be tested before release to ensure it has the same potency value demonstrated by the batch(es) used for the efficacy test(s).</w:t>
      </w:r>
    </w:p>
    <w:p w14:paraId="40738064" w14:textId="77777777" w:rsidR="001D593A" w:rsidRPr="00806349" w:rsidRDefault="001D593A" w:rsidP="0061666D">
      <w:pPr>
        <w:pStyle w:val="111Para"/>
        <w:rPr>
          <w:lang w:val="en-IE"/>
        </w:rPr>
      </w:pPr>
      <w:r w:rsidRPr="00806349">
        <w:rPr>
          <w:lang w:val="en-IE"/>
        </w:rPr>
        <w:t>Usually vaccine efficacy (protection) is estimated in vaccinated animals directly by evaluating their resistance to live pathogen challenge, i.e. lack of local lesion at the site of inoculation in vaccinated animals and development of lesion in the control animals.</w:t>
      </w:r>
    </w:p>
    <w:p w14:paraId="40738065" w14:textId="77777777" w:rsidR="001D593A" w:rsidRPr="00806349" w:rsidRDefault="001D593A" w:rsidP="0061666D">
      <w:pPr>
        <w:pStyle w:val="111"/>
        <w:rPr>
          <w:lang w:val="en-IE"/>
        </w:rPr>
      </w:pPr>
      <w:r w:rsidRPr="00806349">
        <w:rPr>
          <w:lang w:val="en-IE"/>
        </w:rPr>
        <w:t>2.3.4.</w:t>
      </w:r>
      <w:r w:rsidRPr="00806349">
        <w:rPr>
          <w:lang w:val="en-IE"/>
        </w:rPr>
        <w:tab/>
      </w:r>
      <w:r w:rsidRPr="00806349">
        <w:rPr>
          <w:lang w:val="en-IE"/>
        </w:rPr>
        <w:tab/>
        <w:t>Duration of immunity</w:t>
      </w:r>
    </w:p>
    <w:p w14:paraId="40738066" w14:textId="77777777" w:rsidR="001D593A" w:rsidRPr="00806349" w:rsidRDefault="001D593A" w:rsidP="0061666D">
      <w:pPr>
        <w:pStyle w:val="111Para"/>
        <w:rPr>
          <w:lang w:val="en-IE"/>
        </w:rPr>
      </w:pPr>
      <w:r w:rsidRPr="00806349">
        <w:rPr>
          <w:lang w:val="en-IE"/>
        </w:rPr>
        <w:t xml:space="preserve">The efficacy test given in Section C.2.1.3 may be used to determine the duration of immunity (approximately 6–12 months) by testing at intervals after vaccination, using separate groups of birds for each test. </w:t>
      </w:r>
    </w:p>
    <w:p w14:paraId="40738067" w14:textId="77777777" w:rsidR="001D593A" w:rsidRPr="00806349" w:rsidRDefault="001D593A" w:rsidP="0061666D">
      <w:pPr>
        <w:pStyle w:val="111"/>
        <w:rPr>
          <w:lang w:val="en-IE"/>
        </w:rPr>
      </w:pPr>
      <w:r w:rsidRPr="00806349">
        <w:rPr>
          <w:lang w:val="en-IE"/>
        </w:rPr>
        <w:t>2.3.5.</w:t>
      </w:r>
      <w:r w:rsidRPr="00806349">
        <w:rPr>
          <w:lang w:val="en-IE"/>
        </w:rPr>
        <w:tab/>
        <w:t>Stability</w:t>
      </w:r>
    </w:p>
    <w:p w14:paraId="40738068" w14:textId="61D1997A" w:rsidR="001D593A" w:rsidRPr="00806349" w:rsidRDefault="001D593A" w:rsidP="007947E2">
      <w:pPr>
        <w:pStyle w:val="111Para"/>
        <w:spacing w:after="480"/>
        <w:rPr>
          <w:lang w:val="en-IE"/>
        </w:rPr>
      </w:pPr>
      <w:r w:rsidRPr="00806349">
        <w:rPr>
          <w:lang w:val="en-IE"/>
        </w:rPr>
        <w:t xml:space="preserve">Evidence of stability must be presented to justify the shelf life. This should be based on virus titrations carried out at intervals until 3 months beyond the requested shelf life on at least </w:t>
      </w:r>
      <w:r w:rsidR="00DC4BA1" w:rsidRPr="00440CCE">
        <w:rPr>
          <w:strike/>
          <w:lang w:val="en-IE"/>
        </w:rPr>
        <w:t xml:space="preserve">six </w:t>
      </w:r>
      <w:r w:rsidR="00DC4BA1" w:rsidRPr="00440CCE">
        <w:rPr>
          <w:u w:val="double"/>
          <w:lang w:val="en-IE"/>
        </w:rPr>
        <w:t>four</w:t>
      </w:r>
      <w:r w:rsidR="00DC4BA1">
        <w:rPr>
          <w:lang w:val="en-IE"/>
        </w:rPr>
        <w:t xml:space="preserve"> </w:t>
      </w:r>
      <w:r w:rsidRPr="00806349">
        <w:rPr>
          <w:lang w:val="en-IE"/>
        </w:rPr>
        <w:t>batches of vaccine kept under recommended storage conditions.</w:t>
      </w:r>
    </w:p>
    <w:p w14:paraId="40738074" w14:textId="77777777" w:rsidR="001D593A" w:rsidRPr="00806349" w:rsidRDefault="001D593A" w:rsidP="007043AC">
      <w:pPr>
        <w:pStyle w:val="A"/>
        <w:spacing w:after="200"/>
        <w:rPr>
          <w:sz w:val="22"/>
          <w:szCs w:val="22"/>
          <w:lang w:val="en-IE"/>
        </w:rPr>
      </w:pPr>
      <w:r w:rsidRPr="00806349">
        <w:rPr>
          <w:sz w:val="22"/>
          <w:szCs w:val="22"/>
          <w:lang w:val="en-IE"/>
        </w:rPr>
        <w:t>REFERENCES</w:t>
      </w:r>
    </w:p>
    <w:p w14:paraId="6AF1DCF4" w14:textId="77777777" w:rsidR="00FC48AB" w:rsidRPr="00806349" w:rsidRDefault="001D593A" w:rsidP="007043AC">
      <w:pPr>
        <w:pStyle w:val="Ref"/>
        <w:spacing w:after="200"/>
        <w:rPr>
          <w:lang w:val="en-IE"/>
        </w:rPr>
      </w:pPr>
      <w:r w:rsidRPr="00806349">
        <w:rPr>
          <w:smallCaps/>
          <w:lang w:val="en-IE"/>
        </w:rPr>
        <w:t xml:space="preserve">Afonso C.L., Tulman E.R., Lu Z., </w:t>
      </w:r>
      <w:proofErr w:type="spellStart"/>
      <w:r w:rsidRPr="00806349">
        <w:rPr>
          <w:smallCaps/>
          <w:lang w:val="en-IE"/>
        </w:rPr>
        <w:t>Zsak</w:t>
      </w:r>
      <w:proofErr w:type="spellEnd"/>
      <w:r w:rsidRPr="00806349">
        <w:rPr>
          <w:smallCaps/>
          <w:lang w:val="en-IE"/>
        </w:rPr>
        <w:t xml:space="preserve"> L., </w:t>
      </w:r>
      <w:proofErr w:type="spellStart"/>
      <w:r w:rsidRPr="00806349">
        <w:rPr>
          <w:smallCaps/>
          <w:lang w:val="en-IE"/>
        </w:rPr>
        <w:t>Kutish</w:t>
      </w:r>
      <w:proofErr w:type="spellEnd"/>
      <w:r w:rsidRPr="00806349">
        <w:rPr>
          <w:smallCaps/>
          <w:lang w:val="en-IE"/>
        </w:rPr>
        <w:t xml:space="preserve"> G.F. &amp; Rock D.L.</w:t>
      </w:r>
      <w:r w:rsidRPr="00806349">
        <w:rPr>
          <w:lang w:val="en-IE"/>
        </w:rPr>
        <w:t xml:space="preserve"> (2000). The genome of </w:t>
      </w:r>
      <w:proofErr w:type="spellStart"/>
      <w:r w:rsidRPr="00806349">
        <w:rPr>
          <w:lang w:val="en-IE"/>
        </w:rPr>
        <w:t>fowlpox</w:t>
      </w:r>
      <w:proofErr w:type="spellEnd"/>
      <w:r w:rsidRPr="00806349">
        <w:rPr>
          <w:lang w:val="en-IE"/>
        </w:rPr>
        <w:t xml:space="preserve"> virus. </w:t>
      </w:r>
      <w:r w:rsidRPr="00806349">
        <w:rPr>
          <w:i/>
          <w:iCs/>
          <w:lang w:val="en-IE"/>
        </w:rPr>
        <w:t>J. Virol.</w:t>
      </w:r>
      <w:r w:rsidRPr="00806349">
        <w:rPr>
          <w:lang w:val="en-IE"/>
        </w:rPr>
        <w:t xml:space="preserve">, </w:t>
      </w:r>
      <w:r w:rsidRPr="00806349">
        <w:rPr>
          <w:b/>
          <w:bCs/>
          <w:lang w:val="en-IE"/>
        </w:rPr>
        <w:t>74</w:t>
      </w:r>
      <w:r w:rsidRPr="00806349">
        <w:rPr>
          <w:lang w:val="en-IE"/>
        </w:rPr>
        <w:t>, 3815–3831.</w:t>
      </w:r>
    </w:p>
    <w:p w14:paraId="27354B2C" w14:textId="28574820" w:rsidR="00C17398" w:rsidRPr="00806349" w:rsidRDefault="00C17398" w:rsidP="007043AC">
      <w:pPr>
        <w:pStyle w:val="Ref"/>
        <w:spacing w:after="200"/>
        <w:rPr>
          <w:u w:val="double"/>
          <w:lang w:val="en-IE"/>
        </w:rPr>
      </w:pPr>
      <w:r w:rsidRPr="00806349">
        <w:rPr>
          <w:smallCaps/>
          <w:u w:val="double"/>
          <w:lang w:val="en-IE"/>
        </w:rPr>
        <w:t>Banyai K., Palya</w:t>
      </w:r>
      <w:r w:rsidR="00BE6F13" w:rsidRPr="00806349">
        <w:rPr>
          <w:smallCaps/>
          <w:u w:val="double"/>
          <w:lang w:val="en-IE"/>
        </w:rPr>
        <w:t xml:space="preserve"> V.</w:t>
      </w:r>
      <w:r w:rsidRPr="00806349">
        <w:rPr>
          <w:smallCaps/>
          <w:u w:val="double"/>
          <w:lang w:val="en-IE"/>
        </w:rPr>
        <w:t>, Denes</w:t>
      </w:r>
      <w:r w:rsidR="00BE6F13" w:rsidRPr="00806349">
        <w:rPr>
          <w:smallCaps/>
          <w:u w:val="double"/>
          <w:lang w:val="en-IE"/>
        </w:rPr>
        <w:t xml:space="preserve"> B., </w:t>
      </w:r>
      <w:proofErr w:type="spellStart"/>
      <w:r w:rsidR="00BE6F13" w:rsidRPr="00806349">
        <w:rPr>
          <w:smallCaps/>
          <w:u w:val="double"/>
          <w:lang w:val="en-IE"/>
        </w:rPr>
        <w:t>G</w:t>
      </w:r>
      <w:r w:rsidRPr="00806349">
        <w:rPr>
          <w:smallCaps/>
          <w:u w:val="double"/>
          <w:lang w:val="en-IE"/>
        </w:rPr>
        <w:t>lavits</w:t>
      </w:r>
      <w:proofErr w:type="spellEnd"/>
      <w:r w:rsidR="00BE6F13" w:rsidRPr="00806349">
        <w:rPr>
          <w:smallCaps/>
          <w:u w:val="double"/>
          <w:lang w:val="en-IE"/>
        </w:rPr>
        <w:t xml:space="preserve"> R., </w:t>
      </w:r>
      <w:r w:rsidRPr="00806349">
        <w:rPr>
          <w:smallCaps/>
          <w:u w:val="double"/>
          <w:lang w:val="en-IE"/>
        </w:rPr>
        <w:t>Ivanics</w:t>
      </w:r>
      <w:r w:rsidR="00BE6F13" w:rsidRPr="00806349">
        <w:rPr>
          <w:smallCaps/>
          <w:u w:val="double"/>
          <w:lang w:val="en-IE"/>
        </w:rPr>
        <w:t xml:space="preserve"> E., </w:t>
      </w:r>
      <w:r w:rsidRPr="00806349">
        <w:rPr>
          <w:smallCaps/>
          <w:u w:val="double"/>
          <w:lang w:val="en-IE"/>
        </w:rPr>
        <w:t xml:space="preserve">Horvath </w:t>
      </w:r>
      <w:r w:rsidR="00BE6F13" w:rsidRPr="00806349">
        <w:rPr>
          <w:smallCaps/>
          <w:u w:val="double"/>
          <w:lang w:val="en-IE"/>
        </w:rPr>
        <w:t>B</w:t>
      </w:r>
      <w:r w:rsidR="00FC48AB" w:rsidRPr="00806349">
        <w:rPr>
          <w:smallCaps/>
          <w:u w:val="double"/>
          <w:lang w:val="en-IE"/>
        </w:rPr>
        <w:t xml:space="preserve">., </w:t>
      </w:r>
      <w:r w:rsidR="00FC48AB" w:rsidRPr="00806349">
        <w:rPr>
          <w:smallCaps/>
          <w:color w:val="212121"/>
          <w:u w:val="double"/>
          <w:shd w:val="clear" w:color="auto" w:fill="FFFFFF"/>
        </w:rPr>
        <w:t xml:space="preserve">Farkas S.L., Marton S., </w:t>
      </w:r>
      <w:proofErr w:type="spellStart"/>
      <w:r w:rsidR="00FC48AB" w:rsidRPr="00806349">
        <w:rPr>
          <w:smallCaps/>
          <w:color w:val="212121"/>
          <w:u w:val="double"/>
          <w:shd w:val="clear" w:color="auto" w:fill="FFFFFF"/>
        </w:rPr>
        <w:t>Belint</w:t>
      </w:r>
      <w:proofErr w:type="spellEnd"/>
      <w:r w:rsidR="00FC48AB" w:rsidRPr="00806349">
        <w:rPr>
          <w:smallCaps/>
          <w:color w:val="212121"/>
          <w:u w:val="double"/>
          <w:shd w:val="clear" w:color="auto" w:fill="FFFFFF"/>
        </w:rPr>
        <w:t xml:space="preserve"> A., </w:t>
      </w:r>
      <w:proofErr w:type="spellStart"/>
      <w:r w:rsidR="00FC48AB" w:rsidRPr="00806349">
        <w:rPr>
          <w:smallCaps/>
          <w:color w:val="212121"/>
          <w:u w:val="double"/>
          <w:shd w:val="clear" w:color="auto" w:fill="FFFFFF"/>
        </w:rPr>
        <w:t>Gyuranecz</w:t>
      </w:r>
      <w:proofErr w:type="spellEnd"/>
      <w:r w:rsidR="00FC48AB" w:rsidRPr="00806349">
        <w:rPr>
          <w:smallCaps/>
          <w:color w:val="212121"/>
          <w:u w:val="double"/>
          <w:shd w:val="clear" w:color="auto" w:fill="FFFFFF"/>
        </w:rPr>
        <w:t xml:space="preserve"> M., Erdelyi K. &amp; Dan A.</w:t>
      </w:r>
      <w:r w:rsidRPr="00806349">
        <w:rPr>
          <w:smallCaps/>
          <w:u w:val="double"/>
          <w:lang w:val="en-IE"/>
        </w:rPr>
        <w:t xml:space="preserve"> </w:t>
      </w:r>
      <w:r w:rsidRPr="00806349">
        <w:rPr>
          <w:u w:val="double"/>
          <w:lang w:val="en-IE"/>
        </w:rPr>
        <w:t xml:space="preserve">(2015). Unique genomic organization of a novel </w:t>
      </w:r>
      <w:proofErr w:type="spellStart"/>
      <w:r w:rsidRPr="00806349">
        <w:rPr>
          <w:u w:val="double"/>
          <w:lang w:val="en-IE"/>
        </w:rPr>
        <w:t>Avipoxvirus</w:t>
      </w:r>
      <w:proofErr w:type="spellEnd"/>
      <w:r w:rsidRPr="00806349">
        <w:rPr>
          <w:u w:val="double"/>
          <w:lang w:val="en-IE"/>
        </w:rPr>
        <w:t xml:space="preserve"> detected in turkey (</w:t>
      </w:r>
      <w:r w:rsidRPr="00806349">
        <w:rPr>
          <w:i/>
          <w:iCs/>
          <w:u w:val="double"/>
          <w:lang w:val="en-IE"/>
        </w:rPr>
        <w:t>Meleagris gallopavo</w:t>
      </w:r>
      <w:r w:rsidR="00FC48AB" w:rsidRPr="00806349">
        <w:rPr>
          <w:u w:val="double"/>
          <w:lang w:val="en-IE"/>
        </w:rPr>
        <w:t>)</w:t>
      </w:r>
      <w:r w:rsidRPr="00806349">
        <w:rPr>
          <w:u w:val="double"/>
          <w:lang w:val="en-IE"/>
        </w:rPr>
        <w:t xml:space="preserve">. </w:t>
      </w:r>
      <w:r w:rsidRPr="00806349">
        <w:rPr>
          <w:i/>
          <w:iCs/>
          <w:u w:val="double"/>
          <w:lang w:val="en-IE"/>
        </w:rPr>
        <w:t>Infect</w:t>
      </w:r>
      <w:r w:rsidR="00FC48AB" w:rsidRPr="00806349">
        <w:rPr>
          <w:i/>
          <w:iCs/>
          <w:u w:val="double"/>
          <w:lang w:val="en-IE"/>
        </w:rPr>
        <w:t>.</w:t>
      </w:r>
      <w:r w:rsidRPr="00806349">
        <w:rPr>
          <w:i/>
          <w:iCs/>
          <w:u w:val="double"/>
          <w:lang w:val="en-IE"/>
        </w:rPr>
        <w:t xml:space="preserve"> Genet</w:t>
      </w:r>
      <w:r w:rsidR="00FC48AB" w:rsidRPr="00806349">
        <w:rPr>
          <w:i/>
          <w:iCs/>
          <w:u w:val="double"/>
          <w:lang w:val="en-IE"/>
        </w:rPr>
        <w:t>.</w:t>
      </w:r>
      <w:r w:rsidRPr="00806349">
        <w:rPr>
          <w:i/>
          <w:iCs/>
          <w:u w:val="double"/>
          <w:lang w:val="en-IE"/>
        </w:rPr>
        <w:t xml:space="preserve"> </w:t>
      </w:r>
      <w:proofErr w:type="spellStart"/>
      <w:r w:rsidRPr="00806349">
        <w:rPr>
          <w:i/>
          <w:iCs/>
          <w:u w:val="double"/>
          <w:lang w:val="en-IE"/>
        </w:rPr>
        <w:t>Evol</w:t>
      </w:r>
      <w:proofErr w:type="spellEnd"/>
      <w:r w:rsidR="00FC48AB" w:rsidRPr="00806349">
        <w:rPr>
          <w:u w:val="double"/>
          <w:lang w:val="en-IE"/>
        </w:rPr>
        <w:t>.</w:t>
      </w:r>
      <w:r w:rsidRPr="00806349">
        <w:rPr>
          <w:u w:val="double"/>
          <w:lang w:val="en-IE"/>
        </w:rPr>
        <w:t xml:space="preserve">, </w:t>
      </w:r>
      <w:r w:rsidRPr="00806349">
        <w:rPr>
          <w:b/>
          <w:bCs/>
          <w:u w:val="double"/>
          <w:lang w:val="en-IE"/>
        </w:rPr>
        <w:t>35</w:t>
      </w:r>
      <w:r w:rsidRPr="00806349">
        <w:rPr>
          <w:u w:val="double"/>
          <w:lang w:val="en-IE"/>
        </w:rPr>
        <w:t>, 221</w:t>
      </w:r>
      <w:r w:rsidR="00FC48AB" w:rsidRPr="00806349">
        <w:rPr>
          <w:u w:val="double"/>
          <w:lang w:val="en-IE"/>
        </w:rPr>
        <w:t>–</w:t>
      </w:r>
      <w:r w:rsidRPr="00806349">
        <w:rPr>
          <w:u w:val="double"/>
          <w:lang w:val="en-IE"/>
        </w:rPr>
        <w:t>229.</w:t>
      </w:r>
    </w:p>
    <w:p w14:paraId="24F93102" w14:textId="7F399999" w:rsidR="00FC48AB" w:rsidRDefault="001D593A" w:rsidP="007043AC">
      <w:pPr>
        <w:pStyle w:val="Ref"/>
        <w:spacing w:after="200"/>
        <w:rPr>
          <w:lang w:val="en-IE"/>
        </w:rPr>
      </w:pPr>
      <w:r w:rsidRPr="00806349">
        <w:rPr>
          <w:smallCaps/>
          <w:lang w:val="en-IE"/>
        </w:rPr>
        <w:t>Buscaglia C., Bankowski R.A. &amp; Miers L.</w:t>
      </w:r>
      <w:r w:rsidRPr="00806349">
        <w:rPr>
          <w:lang w:val="en-IE"/>
        </w:rPr>
        <w:t xml:space="preserve"> (1985). Cell-culture virus</w:t>
      </w:r>
      <w:r w:rsidR="00B122EB" w:rsidRPr="00806349">
        <w:rPr>
          <w:lang w:val="en-IE"/>
        </w:rPr>
        <w:t>-</w:t>
      </w:r>
      <w:r w:rsidRPr="00806349">
        <w:rPr>
          <w:lang w:val="en-IE"/>
        </w:rPr>
        <w:t xml:space="preserve">neutralization test and enzyme-linked immunosorbent assay for evaluation of immunity in chickens against </w:t>
      </w:r>
      <w:proofErr w:type="spellStart"/>
      <w:r w:rsidRPr="00806349">
        <w:rPr>
          <w:lang w:val="en-IE"/>
        </w:rPr>
        <w:t>fowlpox</w:t>
      </w:r>
      <w:proofErr w:type="spellEnd"/>
      <w:r w:rsidRPr="00806349">
        <w:rPr>
          <w:lang w:val="en-IE"/>
        </w:rPr>
        <w:t xml:space="preserve">. </w:t>
      </w:r>
      <w:r w:rsidRPr="00806349">
        <w:rPr>
          <w:i/>
          <w:iCs/>
          <w:lang w:val="en-IE"/>
        </w:rPr>
        <w:t>Avian Dis</w:t>
      </w:r>
      <w:r w:rsidRPr="00806349">
        <w:rPr>
          <w:lang w:val="en-IE"/>
        </w:rPr>
        <w:t xml:space="preserve">., </w:t>
      </w:r>
      <w:r w:rsidRPr="00806349">
        <w:rPr>
          <w:b/>
          <w:bCs/>
          <w:lang w:val="en-IE"/>
        </w:rPr>
        <w:t>29</w:t>
      </w:r>
      <w:r w:rsidRPr="00806349">
        <w:rPr>
          <w:lang w:val="en-IE"/>
        </w:rPr>
        <w:t>, 672–680.</w:t>
      </w:r>
    </w:p>
    <w:p w14:paraId="5FC66F74" w14:textId="24C7D7EA" w:rsidR="00E24D34" w:rsidRPr="00806349" w:rsidRDefault="008D64FD" w:rsidP="007043AC">
      <w:pPr>
        <w:pStyle w:val="Ref"/>
        <w:spacing w:after="200"/>
        <w:rPr>
          <w:lang w:val="en-IE"/>
        </w:rPr>
      </w:pPr>
      <w:r w:rsidRPr="008D64FD">
        <w:rPr>
          <w:smallCaps/>
          <w:highlight w:val="yellow"/>
          <w:u w:val="double"/>
          <w:lang w:val="en-IE"/>
        </w:rPr>
        <w:t xml:space="preserve">Crawford T.B., Li H. &amp; O’Toole D. </w:t>
      </w:r>
      <w:r w:rsidRPr="00221FE1">
        <w:rPr>
          <w:highlight w:val="yellow"/>
          <w:u w:val="double"/>
          <w:lang w:val="en-IE"/>
        </w:rPr>
        <w:t xml:space="preserve">(1999). Diagnosis of malignant catarrhal fever by PCR using formalin-fixed, paraffin-embedded tissues. </w:t>
      </w:r>
      <w:r w:rsidRPr="00B83515">
        <w:rPr>
          <w:i/>
          <w:iCs/>
          <w:highlight w:val="yellow"/>
          <w:u w:val="double"/>
          <w:lang w:val="en-IE"/>
        </w:rPr>
        <w:t>J</w:t>
      </w:r>
      <w:r>
        <w:rPr>
          <w:i/>
          <w:iCs/>
          <w:highlight w:val="yellow"/>
          <w:u w:val="double"/>
          <w:lang w:val="en-IE"/>
        </w:rPr>
        <w:t>.</w:t>
      </w:r>
      <w:r w:rsidRPr="00B83515">
        <w:rPr>
          <w:i/>
          <w:iCs/>
          <w:highlight w:val="yellow"/>
          <w:u w:val="double"/>
          <w:lang w:val="en-IE"/>
        </w:rPr>
        <w:t xml:space="preserve"> Vet</w:t>
      </w:r>
      <w:r>
        <w:rPr>
          <w:i/>
          <w:iCs/>
          <w:highlight w:val="yellow"/>
          <w:u w:val="double"/>
          <w:lang w:val="en-IE"/>
        </w:rPr>
        <w:t>.</w:t>
      </w:r>
      <w:r w:rsidRPr="00B83515">
        <w:rPr>
          <w:i/>
          <w:iCs/>
          <w:highlight w:val="yellow"/>
          <w:u w:val="double"/>
          <w:lang w:val="en-IE"/>
        </w:rPr>
        <w:t xml:space="preserve"> </w:t>
      </w:r>
      <w:proofErr w:type="spellStart"/>
      <w:r w:rsidRPr="00B83515">
        <w:rPr>
          <w:i/>
          <w:iCs/>
          <w:highlight w:val="yellow"/>
          <w:u w:val="double"/>
          <w:lang w:val="en-IE"/>
        </w:rPr>
        <w:t>Diagn</w:t>
      </w:r>
      <w:proofErr w:type="spellEnd"/>
      <w:r>
        <w:rPr>
          <w:i/>
          <w:iCs/>
          <w:highlight w:val="yellow"/>
          <w:u w:val="double"/>
          <w:lang w:val="en-IE"/>
        </w:rPr>
        <w:t>.</w:t>
      </w:r>
      <w:r w:rsidRPr="00B83515">
        <w:rPr>
          <w:i/>
          <w:iCs/>
          <w:highlight w:val="yellow"/>
          <w:u w:val="double"/>
          <w:lang w:val="en-IE"/>
        </w:rPr>
        <w:t xml:space="preserve"> Invest</w:t>
      </w:r>
      <w:r>
        <w:rPr>
          <w:i/>
          <w:iCs/>
          <w:highlight w:val="yellow"/>
          <w:u w:val="double"/>
          <w:lang w:val="en-IE"/>
        </w:rPr>
        <w:t>.</w:t>
      </w:r>
      <w:r w:rsidRPr="00221FE1">
        <w:rPr>
          <w:highlight w:val="yellow"/>
          <w:u w:val="double"/>
          <w:lang w:val="en-IE"/>
        </w:rPr>
        <w:t xml:space="preserve">, </w:t>
      </w:r>
      <w:r w:rsidRPr="00B83515">
        <w:rPr>
          <w:b/>
          <w:bCs/>
          <w:highlight w:val="yellow"/>
          <w:u w:val="double"/>
          <w:lang w:val="en-IE"/>
        </w:rPr>
        <w:t>11</w:t>
      </w:r>
      <w:r w:rsidRPr="00221FE1">
        <w:rPr>
          <w:highlight w:val="yellow"/>
          <w:u w:val="double"/>
          <w:lang w:val="en-IE"/>
        </w:rPr>
        <w:t>, 111</w:t>
      </w:r>
      <w:r>
        <w:rPr>
          <w:highlight w:val="yellow"/>
          <w:u w:val="double"/>
          <w:lang w:val="en-IE"/>
        </w:rPr>
        <w:t>–</w:t>
      </w:r>
      <w:r w:rsidRPr="00221FE1">
        <w:rPr>
          <w:highlight w:val="yellow"/>
          <w:u w:val="double"/>
          <w:lang w:val="en-IE"/>
        </w:rPr>
        <w:t>116.</w:t>
      </w:r>
    </w:p>
    <w:p w14:paraId="3A96B0CA" w14:textId="371DE23E" w:rsidR="00BE6F13" w:rsidRPr="00806349" w:rsidRDefault="00BE6F13" w:rsidP="007043AC">
      <w:pPr>
        <w:pStyle w:val="Ref"/>
        <w:spacing w:after="200"/>
        <w:rPr>
          <w:u w:val="double"/>
          <w:lang w:val="en-IE"/>
        </w:rPr>
      </w:pPr>
      <w:r w:rsidRPr="00806349">
        <w:rPr>
          <w:smallCaps/>
          <w:u w:val="double"/>
          <w:lang w:val="en-IE"/>
        </w:rPr>
        <w:t>Davidson I.,</w:t>
      </w:r>
      <w:r w:rsidR="00C2397D" w:rsidRPr="00806349">
        <w:rPr>
          <w:smallCaps/>
          <w:u w:val="double"/>
          <w:lang w:val="en-IE"/>
        </w:rPr>
        <w:t xml:space="preserve"> </w:t>
      </w:r>
      <w:proofErr w:type="spellStart"/>
      <w:r w:rsidRPr="00806349">
        <w:rPr>
          <w:smallCaps/>
          <w:u w:val="double"/>
          <w:lang w:val="en-IE"/>
        </w:rPr>
        <w:t>Raibstein</w:t>
      </w:r>
      <w:proofErr w:type="spellEnd"/>
      <w:r w:rsidRPr="00806349">
        <w:rPr>
          <w:smallCaps/>
          <w:u w:val="double"/>
          <w:lang w:val="en-IE"/>
        </w:rPr>
        <w:t xml:space="preserve"> I &amp; </w:t>
      </w:r>
      <w:proofErr w:type="spellStart"/>
      <w:r w:rsidRPr="00806349">
        <w:rPr>
          <w:smallCaps/>
          <w:u w:val="double"/>
          <w:lang w:val="en-IE"/>
        </w:rPr>
        <w:t>Altory</w:t>
      </w:r>
      <w:proofErr w:type="spellEnd"/>
      <w:r w:rsidRPr="00806349">
        <w:rPr>
          <w:smallCaps/>
          <w:u w:val="double"/>
          <w:lang w:val="en-IE"/>
        </w:rPr>
        <w:t xml:space="preserve"> A. </w:t>
      </w:r>
      <w:r w:rsidRPr="00806349">
        <w:rPr>
          <w:u w:val="double"/>
          <w:lang w:val="en-IE"/>
        </w:rPr>
        <w:t xml:space="preserve">(2015). Differential </w:t>
      </w:r>
      <w:r w:rsidR="00FC48AB" w:rsidRPr="00806349">
        <w:rPr>
          <w:u w:val="double"/>
          <w:lang w:val="en-IE"/>
        </w:rPr>
        <w:t>diagnosis</w:t>
      </w:r>
      <w:r w:rsidR="007D2ABA" w:rsidRPr="00806349">
        <w:rPr>
          <w:u w:val="double"/>
          <w:lang w:val="en-IE"/>
        </w:rPr>
        <w:t xml:space="preserve"> of </w:t>
      </w:r>
      <w:proofErr w:type="spellStart"/>
      <w:r w:rsidR="007D2ABA" w:rsidRPr="00806349">
        <w:rPr>
          <w:u w:val="double"/>
          <w:lang w:val="en-IE"/>
        </w:rPr>
        <w:t>fowlpox</w:t>
      </w:r>
      <w:proofErr w:type="spellEnd"/>
      <w:r w:rsidR="007D2ABA" w:rsidRPr="00806349">
        <w:rPr>
          <w:u w:val="double"/>
          <w:lang w:val="en-IE"/>
        </w:rPr>
        <w:t xml:space="preserve"> and infectious laryngotracheitis viruses in chicken </w:t>
      </w:r>
      <w:proofErr w:type="spellStart"/>
      <w:r w:rsidR="007D2ABA" w:rsidRPr="00806349">
        <w:rPr>
          <w:u w:val="double"/>
          <w:lang w:val="en-IE"/>
        </w:rPr>
        <w:t>diptheritic</w:t>
      </w:r>
      <w:proofErr w:type="spellEnd"/>
      <w:r w:rsidR="007D2ABA" w:rsidRPr="00806349">
        <w:rPr>
          <w:u w:val="double"/>
          <w:lang w:val="en-IE"/>
        </w:rPr>
        <w:t xml:space="preserve"> manifestations by mono and duplex real-time polymerase chain reaction. </w:t>
      </w:r>
      <w:r w:rsidR="007D2ABA" w:rsidRPr="00806349">
        <w:rPr>
          <w:i/>
          <w:iCs/>
          <w:u w:val="double"/>
          <w:lang w:val="en-IE"/>
        </w:rPr>
        <w:t xml:space="preserve">Avian </w:t>
      </w:r>
      <w:proofErr w:type="spellStart"/>
      <w:r w:rsidR="007D2ABA" w:rsidRPr="00806349">
        <w:rPr>
          <w:i/>
          <w:iCs/>
          <w:u w:val="double"/>
          <w:lang w:val="en-IE"/>
        </w:rPr>
        <w:t>Pathol</w:t>
      </w:r>
      <w:proofErr w:type="spellEnd"/>
      <w:r w:rsidR="007D2ABA" w:rsidRPr="00806349">
        <w:rPr>
          <w:u w:val="double"/>
          <w:lang w:val="en-IE"/>
        </w:rPr>
        <w:t xml:space="preserve">., </w:t>
      </w:r>
      <w:r w:rsidR="007D2ABA" w:rsidRPr="00806349">
        <w:rPr>
          <w:b/>
          <w:bCs/>
          <w:u w:val="double"/>
          <w:lang w:val="en-IE"/>
        </w:rPr>
        <w:t>44</w:t>
      </w:r>
      <w:r w:rsidR="007D2ABA" w:rsidRPr="00806349">
        <w:rPr>
          <w:u w:val="double"/>
          <w:lang w:val="en-IE"/>
        </w:rPr>
        <w:t>, 1</w:t>
      </w:r>
      <w:r w:rsidR="00FC48AB" w:rsidRPr="00806349">
        <w:rPr>
          <w:u w:val="double"/>
          <w:lang w:val="en-IE"/>
        </w:rPr>
        <w:t>–</w:t>
      </w:r>
      <w:r w:rsidR="007D2ABA" w:rsidRPr="00806349">
        <w:rPr>
          <w:u w:val="double"/>
          <w:lang w:val="en-IE"/>
        </w:rPr>
        <w:t>4.</w:t>
      </w:r>
    </w:p>
    <w:p w14:paraId="40738077" w14:textId="77777777" w:rsidR="001D593A" w:rsidRPr="00806349" w:rsidRDefault="001D593A" w:rsidP="007043AC">
      <w:pPr>
        <w:pStyle w:val="Ref"/>
        <w:spacing w:after="200"/>
        <w:rPr>
          <w:lang w:val="en-IE"/>
        </w:rPr>
      </w:pPr>
      <w:r w:rsidRPr="00806349">
        <w:rPr>
          <w:smallCaps/>
          <w:lang w:val="en-IE"/>
        </w:rPr>
        <w:lastRenderedPageBreak/>
        <w:t>Doane F.W. &amp; Anderson N.</w:t>
      </w:r>
      <w:r w:rsidRPr="00806349">
        <w:rPr>
          <w:lang w:val="en-IE"/>
        </w:rPr>
        <w:t xml:space="preserve"> (1987). Electron Microscopy in Diagnostic Virology: A Practical Guide and Atlas. Cambridge University Press, Cambridge, UK.</w:t>
      </w:r>
    </w:p>
    <w:p w14:paraId="40738078" w14:textId="16737028" w:rsidR="001D593A" w:rsidRPr="00806349" w:rsidRDefault="001D593A" w:rsidP="007043AC">
      <w:pPr>
        <w:pStyle w:val="Ref"/>
        <w:spacing w:after="200"/>
        <w:rPr>
          <w:lang w:val="en-IE"/>
        </w:rPr>
      </w:pPr>
      <w:proofErr w:type="spellStart"/>
      <w:r w:rsidRPr="00806349">
        <w:rPr>
          <w:smallCaps/>
          <w:lang w:val="en-IE"/>
        </w:rPr>
        <w:t>Fallavena</w:t>
      </w:r>
      <w:proofErr w:type="spellEnd"/>
      <w:r w:rsidRPr="00806349">
        <w:rPr>
          <w:smallCaps/>
          <w:lang w:val="en-IE"/>
        </w:rPr>
        <w:t xml:space="preserve"> L.C., Canal C.W.,</w:t>
      </w:r>
      <w:r w:rsidRPr="00806349">
        <w:rPr>
          <w:lang w:val="en-IE"/>
        </w:rPr>
        <w:t xml:space="preserve"> </w:t>
      </w:r>
      <w:r w:rsidRPr="00806349">
        <w:rPr>
          <w:smallCaps/>
          <w:lang w:val="en-IE"/>
        </w:rPr>
        <w:t>Salle C.T., Moraes</w:t>
      </w:r>
      <w:r w:rsidRPr="00806349">
        <w:rPr>
          <w:lang w:val="en-IE"/>
        </w:rPr>
        <w:t xml:space="preserve"> </w:t>
      </w:r>
      <w:r w:rsidRPr="00806349">
        <w:rPr>
          <w:smallCaps/>
          <w:lang w:val="en-IE"/>
        </w:rPr>
        <w:t>H.L., Rocha S.L.</w:t>
      </w:r>
      <w:r w:rsidR="00B122EB" w:rsidRPr="00806349">
        <w:rPr>
          <w:smallCaps/>
          <w:lang w:val="en-IE"/>
        </w:rPr>
        <w:t>,</w:t>
      </w:r>
      <w:r w:rsidRPr="00806349">
        <w:rPr>
          <w:smallCaps/>
          <w:lang w:val="en-IE"/>
        </w:rPr>
        <w:t xml:space="preserve"> Pereira</w:t>
      </w:r>
      <w:r w:rsidR="00B122EB" w:rsidRPr="00806349">
        <w:rPr>
          <w:smallCaps/>
          <w:lang w:val="en-IE"/>
        </w:rPr>
        <w:t xml:space="preserve"> R.A. &amp;</w:t>
      </w:r>
      <w:r w:rsidRPr="00806349">
        <w:rPr>
          <w:smallCaps/>
          <w:lang w:val="en-IE"/>
        </w:rPr>
        <w:t xml:space="preserve"> da Silva A.B</w:t>
      </w:r>
      <w:r w:rsidRPr="00806349">
        <w:rPr>
          <w:lang w:val="en-IE"/>
        </w:rPr>
        <w:t xml:space="preserve">. (2002). Presence of </w:t>
      </w:r>
      <w:proofErr w:type="spellStart"/>
      <w:r w:rsidRPr="00806349">
        <w:rPr>
          <w:lang w:val="en-IE"/>
        </w:rPr>
        <w:t>avipoxvirus</w:t>
      </w:r>
      <w:proofErr w:type="spellEnd"/>
      <w:r w:rsidRPr="00806349">
        <w:rPr>
          <w:lang w:val="en-IE"/>
        </w:rPr>
        <w:t xml:space="preserve"> DNA in avian dermal squamous cell carcinoma. </w:t>
      </w:r>
      <w:r w:rsidRPr="00806349">
        <w:rPr>
          <w:i/>
          <w:iCs/>
          <w:lang w:val="en-IE"/>
        </w:rPr>
        <w:t xml:space="preserve">Avian </w:t>
      </w:r>
      <w:proofErr w:type="spellStart"/>
      <w:r w:rsidRPr="00806349">
        <w:rPr>
          <w:i/>
          <w:iCs/>
          <w:lang w:val="en-IE"/>
        </w:rPr>
        <w:t>Pathol</w:t>
      </w:r>
      <w:proofErr w:type="spellEnd"/>
      <w:r w:rsidRPr="00806349">
        <w:rPr>
          <w:lang w:val="en-IE"/>
        </w:rPr>
        <w:t xml:space="preserve">., </w:t>
      </w:r>
      <w:r w:rsidRPr="00806349">
        <w:rPr>
          <w:b/>
          <w:bCs/>
          <w:lang w:val="en-IE"/>
        </w:rPr>
        <w:t>31</w:t>
      </w:r>
      <w:r w:rsidRPr="00806349">
        <w:rPr>
          <w:lang w:val="en-IE"/>
        </w:rPr>
        <w:t>, 241–246.</w:t>
      </w:r>
    </w:p>
    <w:p w14:paraId="40738079" w14:textId="63896075" w:rsidR="001D593A" w:rsidRPr="00806349" w:rsidRDefault="001D593A" w:rsidP="007043AC">
      <w:pPr>
        <w:pStyle w:val="Ref"/>
        <w:spacing w:after="200"/>
        <w:rPr>
          <w:strike/>
          <w:lang w:val="en-IE"/>
        </w:rPr>
      </w:pPr>
      <w:proofErr w:type="spellStart"/>
      <w:r w:rsidRPr="00806349">
        <w:rPr>
          <w:smallCaps/>
          <w:strike/>
          <w:lang w:val="en-IE"/>
        </w:rPr>
        <w:t>Fatunmbi</w:t>
      </w:r>
      <w:proofErr w:type="spellEnd"/>
      <w:r w:rsidRPr="00806349">
        <w:rPr>
          <w:smallCaps/>
          <w:strike/>
          <w:lang w:val="en-IE"/>
        </w:rPr>
        <w:t xml:space="preserve"> O.O., Reed W.M., Schwartz D.I. &amp; Tripathy D.N</w:t>
      </w:r>
      <w:r w:rsidRPr="00806349">
        <w:rPr>
          <w:strike/>
          <w:lang w:val="en-IE"/>
        </w:rPr>
        <w:t xml:space="preserve">. (1995). Dual infection of chickens with pox and infectious laryngotracheitis (ILT) confirmed with specific pox and ILT DNA dot-blot hybridization assays. </w:t>
      </w:r>
      <w:r w:rsidRPr="00806349">
        <w:rPr>
          <w:i/>
          <w:iCs/>
          <w:strike/>
          <w:lang w:val="en-IE"/>
        </w:rPr>
        <w:t>Avian Dis.</w:t>
      </w:r>
      <w:r w:rsidRPr="00806349">
        <w:rPr>
          <w:strike/>
          <w:lang w:val="en-IE"/>
        </w:rPr>
        <w:t xml:space="preserve">, </w:t>
      </w:r>
      <w:r w:rsidRPr="00806349">
        <w:rPr>
          <w:b/>
          <w:bCs/>
          <w:strike/>
          <w:lang w:val="en-IE"/>
        </w:rPr>
        <w:t>39</w:t>
      </w:r>
      <w:r w:rsidRPr="00806349">
        <w:rPr>
          <w:strike/>
          <w:lang w:val="en-IE"/>
        </w:rPr>
        <w:t>, 925–930.</w:t>
      </w:r>
    </w:p>
    <w:p w14:paraId="2629E913" w14:textId="77777777" w:rsidR="00FC48AB" w:rsidRPr="00806349" w:rsidRDefault="001D593A" w:rsidP="007043AC">
      <w:pPr>
        <w:pStyle w:val="Ref"/>
        <w:tabs>
          <w:tab w:val="clear" w:pos="-720"/>
        </w:tabs>
        <w:spacing w:after="200"/>
        <w:rPr>
          <w:lang w:val="en-IE"/>
        </w:rPr>
      </w:pPr>
      <w:proofErr w:type="spellStart"/>
      <w:r w:rsidRPr="00806349">
        <w:rPr>
          <w:smallCaps/>
          <w:lang w:val="en-IE"/>
        </w:rPr>
        <w:t>Ghildyal</w:t>
      </w:r>
      <w:proofErr w:type="spellEnd"/>
      <w:r w:rsidRPr="00806349">
        <w:rPr>
          <w:smallCaps/>
          <w:lang w:val="en-IE"/>
        </w:rPr>
        <w:t xml:space="preserve"> N., </w:t>
      </w:r>
      <w:proofErr w:type="spellStart"/>
      <w:r w:rsidRPr="00806349">
        <w:rPr>
          <w:smallCaps/>
          <w:lang w:val="en-IE"/>
        </w:rPr>
        <w:t>Schnitzlein</w:t>
      </w:r>
      <w:proofErr w:type="spellEnd"/>
      <w:r w:rsidRPr="00806349">
        <w:rPr>
          <w:smallCaps/>
          <w:lang w:val="en-IE"/>
        </w:rPr>
        <w:t xml:space="preserve"> W.M. &amp; Tripathy D.N</w:t>
      </w:r>
      <w:r w:rsidRPr="00806349">
        <w:rPr>
          <w:lang w:val="en-IE"/>
        </w:rPr>
        <w:t xml:space="preserve">. (1989). Genetic and antigenic differences between </w:t>
      </w:r>
      <w:proofErr w:type="spellStart"/>
      <w:r w:rsidRPr="00806349">
        <w:rPr>
          <w:lang w:val="en-IE"/>
        </w:rPr>
        <w:t>fowlpox</w:t>
      </w:r>
      <w:proofErr w:type="spellEnd"/>
      <w:r w:rsidRPr="00806349">
        <w:rPr>
          <w:lang w:val="en-IE"/>
        </w:rPr>
        <w:t xml:space="preserve"> and </w:t>
      </w:r>
      <w:proofErr w:type="spellStart"/>
      <w:r w:rsidRPr="00806349">
        <w:rPr>
          <w:lang w:val="en-IE"/>
        </w:rPr>
        <w:t>quailpox</w:t>
      </w:r>
      <w:proofErr w:type="spellEnd"/>
      <w:r w:rsidRPr="00806349">
        <w:rPr>
          <w:lang w:val="en-IE"/>
        </w:rPr>
        <w:t xml:space="preserve"> viruses. </w:t>
      </w:r>
      <w:r w:rsidRPr="00806349">
        <w:rPr>
          <w:i/>
          <w:iCs/>
          <w:lang w:val="en-IE"/>
        </w:rPr>
        <w:t>Arch. Virol</w:t>
      </w:r>
      <w:r w:rsidRPr="00806349">
        <w:rPr>
          <w:lang w:val="en-IE"/>
        </w:rPr>
        <w:t xml:space="preserve">., </w:t>
      </w:r>
      <w:r w:rsidRPr="00806349">
        <w:rPr>
          <w:b/>
          <w:bCs/>
          <w:lang w:val="en-IE"/>
        </w:rPr>
        <w:t>106</w:t>
      </w:r>
      <w:r w:rsidRPr="00806349">
        <w:rPr>
          <w:lang w:val="en-IE"/>
        </w:rPr>
        <w:t>, 85–92.</w:t>
      </w:r>
    </w:p>
    <w:p w14:paraId="477FF6FF" w14:textId="0FBAE6C4" w:rsidR="001E0E9C" w:rsidRPr="00806349" w:rsidRDefault="001E0E9C" w:rsidP="007043AC">
      <w:pPr>
        <w:pStyle w:val="Ref"/>
        <w:tabs>
          <w:tab w:val="clear" w:pos="-720"/>
        </w:tabs>
        <w:spacing w:after="200"/>
        <w:rPr>
          <w:u w:val="double"/>
          <w:lang w:val="en-IE"/>
        </w:rPr>
      </w:pPr>
      <w:r w:rsidRPr="00806349">
        <w:rPr>
          <w:smallCaps/>
          <w:u w:val="double"/>
          <w:lang w:val="en-IE"/>
        </w:rPr>
        <w:t xml:space="preserve">Hauck R, </w:t>
      </w:r>
      <w:proofErr w:type="spellStart"/>
      <w:r w:rsidRPr="00806349">
        <w:rPr>
          <w:smallCaps/>
          <w:u w:val="double"/>
          <w:lang w:val="en-IE"/>
        </w:rPr>
        <w:t>Prusas</w:t>
      </w:r>
      <w:proofErr w:type="spellEnd"/>
      <w:r w:rsidRPr="00806349">
        <w:rPr>
          <w:smallCaps/>
          <w:u w:val="double"/>
          <w:lang w:val="en-IE"/>
        </w:rPr>
        <w:t xml:space="preserve"> </w:t>
      </w:r>
      <w:r w:rsidR="007D2ABA" w:rsidRPr="00806349">
        <w:rPr>
          <w:smallCaps/>
          <w:u w:val="double"/>
          <w:lang w:val="en-IE"/>
        </w:rPr>
        <w:t xml:space="preserve">D., </w:t>
      </w:r>
      <w:r w:rsidRPr="00806349">
        <w:rPr>
          <w:smallCaps/>
          <w:u w:val="double"/>
          <w:lang w:val="en-IE"/>
        </w:rPr>
        <w:t>Hafez</w:t>
      </w:r>
      <w:r w:rsidR="007D2ABA" w:rsidRPr="00806349">
        <w:rPr>
          <w:smallCaps/>
          <w:u w:val="double"/>
          <w:lang w:val="en-IE"/>
        </w:rPr>
        <w:t xml:space="preserve"> H.M. </w:t>
      </w:r>
      <w:r w:rsidRPr="00806349">
        <w:rPr>
          <w:smallCaps/>
          <w:u w:val="double"/>
          <w:lang w:val="en-IE"/>
        </w:rPr>
        <w:t xml:space="preserve">&amp; </w:t>
      </w:r>
      <w:proofErr w:type="spellStart"/>
      <w:r w:rsidRPr="00806349">
        <w:rPr>
          <w:smallCaps/>
          <w:u w:val="double"/>
          <w:lang w:val="en-IE"/>
        </w:rPr>
        <w:t>Luschow</w:t>
      </w:r>
      <w:proofErr w:type="spellEnd"/>
      <w:r w:rsidR="007D2ABA" w:rsidRPr="00806349">
        <w:rPr>
          <w:smallCaps/>
          <w:u w:val="double"/>
          <w:lang w:val="en-IE"/>
        </w:rPr>
        <w:t xml:space="preserve"> D</w:t>
      </w:r>
      <w:r w:rsidR="007D2ABA" w:rsidRPr="00806349">
        <w:rPr>
          <w:u w:val="double"/>
          <w:lang w:val="en-IE"/>
        </w:rPr>
        <w:t>.</w:t>
      </w:r>
      <w:r w:rsidRPr="00806349">
        <w:rPr>
          <w:u w:val="double"/>
          <w:lang w:val="en-IE"/>
        </w:rPr>
        <w:t xml:space="preserve"> (2009). Quantitative PCR as a tool to determine </w:t>
      </w:r>
      <w:proofErr w:type="spellStart"/>
      <w:r w:rsidRPr="00806349">
        <w:rPr>
          <w:u w:val="double"/>
          <w:lang w:val="en-IE"/>
        </w:rPr>
        <w:t>reticuloendotheliosis</w:t>
      </w:r>
      <w:proofErr w:type="spellEnd"/>
      <w:r w:rsidRPr="00806349">
        <w:rPr>
          <w:u w:val="double"/>
          <w:lang w:val="en-IE"/>
        </w:rPr>
        <w:t xml:space="preserve"> virus-</w:t>
      </w:r>
      <w:proofErr w:type="spellStart"/>
      <w:r w:rsidRPr="00806349">
        <w:rPr>
          <w:u w:val="double"/>
          <w:lang w:val="en-IE"/>
        </w:rPr>
        <w:t>proviral</w:t>
      </w:r>
      <w:proofErr w:type="spellEnd"/>
      <w:r w:rsidRPr="00806349">
        <w:rPr>
          <w:u w:val="double"/>
          <w:lang w:val="en-IE"/>
        </w:rPr>
        <w:t xml:space="preserve"> load of </w:t>
      </w:r>
      <w:proofErr w:type="spellStart"/>
      <w:r w:rsidRPr="00806349">
        <w:rPr>
          <w:u w:val="double"/>
          <w:lang w:val="en-IE"/>
        </w:rPr>
        <w:t>fowlpox</w:t>
      </w:r>
      <w:proofErr w:type="spellEnd"/>
      <w:r w:rsidRPr="00806349">
        <w:rPr>
          <w:u w:val="double"/>
          <w:lang w:val="en-IE"/>
        </w:rPr>
        <w:t xml:space="preserve"> virus. </w:t>
      </w:r>
      <w:r w:rsidRPr="00806349">
        <w:rPr>
          <w:i/>
          <w:iCs/>
          <w:u w:val="double"/>
          <w:lang w:val="en-IE"/>
        </w:rPr>
        <w:t>Avian Dis.,</w:t>
      </w:r>
      <w:r w:rsidRPr="00806349">
        <w:rPr>
          <w:u w:val="double"/>
          <w:lang w:val="en-IE"/>
        </w:rPr>
        <w:t xml:space="preserve"> </w:t>
      </w:r>
      <w:r w:rsidRPr="00806349">
        <w:rPr>
          <w:b/>
          <w:bCs/>
          <w:u w:val="double"/>
          <w:lang w:val="en-IE"/>
        </w:rPr>
        <w:t>53</w:t>
      </w:r>
      <w:r w:rsidRPr="00806349">
        <w:rPr>
          <w:u w:val="double"/>
          <w:lang w:val="en-IE"/>
        </w:rPr>
        <w:t>, 211</w:t>
      </w:r>
      <w:r w:rsidR="00FC48AB" w:rsidRPr="00806349">
        <w:rPr>
          <w:u w:val="double"/>
          <w:lang w:val="en-IE"/>
        </w:rPr>
        <w:t>–</w:t>
      </w:r>
      <w:r w:rsidRPr="00806349">
        <w:rPr>
          <w:u w:val="double"/>
          <w:lang w:val="en-IE"/>
        </w:rPr>
        <w:t>215.</w:t>
      </w:r>
    </w:p>
    <w:p w14:paraId="0D9741BD" w14:textId="77777777" w:rsidR="000D47FC" w:rsidRPr="00806349" w:rsidRDefault="001D593A" w:rsidP="000D47FC">
      <w:pPr>
        <w:pStyle w:val="Ref"/>
        <w:tabs>
          <w:tab w:val="clear" w:pos="-720"/>
        </w:tabs>
        <w:rPr>
          <w:color w:val="000000"/>
          <w:lang w:val="en-IE"/>
        </w:rPr>
      </w:pPr>
      <w:r w:rsidRPr="00806349">
        <w:rPr>
          <w:smallCaps/>
          <w:color w:val="000000"/>
          <w:lang w:val="en-IE"/>
        </w:rPr>
        <w:t>Kim T.J. &amp; Tripathy D.N.</w:t>
      </w:r>
      <w:r w:rsidRPr="00806349">
        <w:rPr>
          <w:color w:val="000000"/>
          <w:lang w:val="en-IE"/>
        </w:rPr>
        <w:t xml:space="preserve"> (2001). </w:t>
      </w:r>
      <w:proofErr w:type="spellStart"/>
      <w:r w:rsidRPr="00806349">
        <w:rPr>
          <w:color w:val="000000"/>
          <w:lang w:val="en-IE"/>
        </w:rPr>
        <w:t>Reticuloendotheliosis</w:t>
      </w:r>
      <w:proofErr w:type="spellEnd"/>
      <w:r w:rsidRPr="00806349">
        <w:rPr>
          <w:color w:val="000000"/>
          <w:lang w:val="en-IE"/>
        </w:rPr>
        <w:t xml:space="preserve"> virus integration in the </w:t>
      </w:r>
      <w:proofErr w:type="spellStart"/>
      <w:r w:rsidRPr="00806349">
        <w:rPr>
          <w:color w:val="000000"/>
          <w:lang w:val="en-IE"/>
        </w:rPr>
        <w:t>fowlpox</w:t>
      </w:r>
      <w:proofErr w:type="spellEnd"/>
      <w:r w:rsidR="00B122EB" w:rsidRPr="00806349">
        <w:rPr>
          <w:color w:val="000000"/>
          <w:lang w:val="en-IE"/>
        </w:rPr>
        <w:t xml:space="preserve"> </w:t>
      </w:r>
      <w:r w:rsidRPr="00806349">
        <w:rPr>
          <w:color w:val="000000"/>
          <w:lang w:val="en-IE"/>
        </w:rPr>
        <w:t xml:space="preserve">virus genome: not a recent event. </w:t>
      </w:r>
      <w:r w:rsidRPr="00806349">
        <w:rPr>
          <w:i/>
          <w:iCs/>
          <w:color w:val="000000"/>
          <w:lang w:val="en-IE"/>
        </w:rPr>
        <w:t>Avian Dis</w:t>
      </w:r>
      <w:r w:rsidRPr="00806349">
        <w:rPr>
          <w:color w:val="000000"/>
          <w:lang w:val="en-IE"/>
        </w:rPr>
        <w:t xml:space="preserve">., </w:t>
      </w:r>
      <w:r w:rsidRPr="00806349">
        <w:rPr>
          <w:b/>
          <w:bCs/>
          <w:color w:val="000000"/>
          <w:lang w:val="en-IE"/>
        </w:rPr>
        <w:t>45</w:t>
      </w:r>
      <w:r w:rsidRPr="00806349">
        <w:rPr>
          <w:color w:val="000000"/>
          <w:lang w:val="en-IE"/>
        </w:rPr>
        <w:t>, 663–669.</w:t>
      </w:r>
    </w:p>
    <w:p w14:paraId="1415EC3B" w14:textId="227E7E3D" w:rsidR="007F78C9" w:rsidRPr="00806349" w:rsidRDefault="007F78C9" w:rsidP="000D47FC">
      <w:pPr>
        <w:pStyle w:val="Ref"/>
        <w:tabs>
          <w:tab w:val="clear" w:pos="-720"/>
        </w:tabs>
        <w:rPr>
          <w:color w:val="000000"/>
          <w:u w:val="double"/>
          <w:lang w:val="en-IE"/>
        </w:rPr>
      </w:pPr>
      <w:r w:rsidRPr="00806349">
        <w:rPr>
          <w:smallCaps/>
          <w:color w:val="000000"/>
          <w:u w:val="double"/>
          <w:lang w:val="en-IE"/>
        </w:rPr>
        <w:t xml:space="preserve">Laidlaw S.M. </w:t>
      </w:r>
      <w:r w:rsidR="000D47FC" w:rsidRPr="00806349">
        <w:rPr>
          <w:smallCaps/>
          <w:color w:val="000000"/>
          <w:u w:val="double"/>
          <w:lang w:val="en-IE"/>
        </w:rPr>
        <w:t>&amp;</w:t>
      </w:r>
      <w:r w:rsidRPr="00806349">
        <w:rPr>
          <w:smallCaps/>
          <w:color w:val="000000"/>
          <w:u w:val="double"/>
          <w:lang w:val="en-IE"/>
        </w:rPr>
        <w:t xml:space="preserve"> Skinner M.A.</w:t>
      </w:r>
      <w:r w:rsidRPr="00806349">
        <w:rPr>
          <w:color w:val="000000"/>
          <w:u w:val="double"/>
          <w:lang w:val="en-IE"/>
        </w:rPr>
        <w:t xml:space="preserve"> (2004). Comparison of Genome Sequence of FP9, an Attenuated Tissue Culture-adapted European Strain of </w:t>
      </w:r>
      <w:proofErr w:type="spellStart"/>
      <w:r w:rsidRPr="00806349">
        <w:rPr>
          <w:color w:val="000000"/>
          <w:u w:val="double"/>
          <w:lang w:val="en-IE"/>
        </w:rPr>
        <w:t>Fowlpox</w:t>
      </w:r>
      <w:proofErr w:type="spellEnd"/>
      <w:r w:rsidRPr="00806349">
        <w:rPr>
          <w:color w:val="000000"/>
          <w:u w:val="double"/>
          <w:lang w:val="en-IE"/>
        </w:rPr>
        <w:t xml:space="preserve"> Virus with Those of Virulent American and European Viruses. </w:t>
      </w:r>
      <w:r w:rsidR="006F1609" w:rsidRPr="00806349">
        <w:rPr>
          <w:i/>
          <w:iCs/>
          <w:color w:val="202124"/>
          <w:u w:val="double"/>
          <w:lang w:val="en-IE" w:eastAsia="en-US"/>
        </w:rPr>
        <w:t>J</w:t>
      </w:r>
      <w:r w:rsidR="006F1609" w:rsidRPr="00806349">
        <w:rPr>
          <w:i/>
          <w:iCs/>
          <w:color w:val="202124"/>
          <w:u w:val="double"/>
          <w:shd w:val="clear" w:color="auto" w:fill="FFFFFF"/>
          <w:lang w:val="en-IE" w:eastAsia="en-US"/>
        </w:rPr>
        <w:t>. Gen. Virol.</w:t>
      </w:r>
      <w:r w:rsidR="000D47FC" w:rsidRPr="00806349">
        <w:rPr>
          <w:i/>
          <w:iCs/>
          <w:color w:val="202124"/>
          <w:u w:val="double"/>
          <w:shd w:val="clear" w:color="auto" w:fill="FFFFFF"/>
          <w:lang w:val="en-IE" w:eastAsia="en-US"/>
        </w:rPr>
        <w:t>,</w:t>
      </w:r>
      <w:r w:rsidR="000D47FC" w:rsidRPr="00806349">
        <w:rPr>
          <w:color w:val="202124"/>
          <w:u w:val="double"/>
          <w:shd w:val="clear" w:color="auto" w:fill="FFFFFF"/>
          <w:lang w:val="en-IE" w:eastAsia="en-US"/>
        </w:rPr>
        <w:t xml:space="preserve"> </w:t>
      </w:r>
      <w:r w:rsidRPr="00806349">
        <w:rPr>
          <w:b/>
          <w:bCs/>
          <w:color w:val="000000"/>
          <w:u w:val="double"/>
          <w:lang w:val="en-IE"/>
        </w:rPr>
        <w:t>85</w:t>
      </w:r>
      <w:r w:rsidR="000D47FC" w:rsidRPr="00806349">
        <w:rPr>
          <w:color w:val="000000"/>
          <w:u w:val="double"/>
          <w:lang w:val="en-IE"/>
        </w:rPr>
        <w:t>,</w:t>
      </w:r>
      <w:r w:rsidRPr="00806349">
        <w:rPr>
          <w:color w:val="000000"/>
          <w:u w:val="double"/>
          <w:lang w:val="en-IE"/>
        </w:rPr>
        <w:t xml:space="preserve"> 305</w:t>
      </w:r>
      <w:r w:rsidR="000D47FC" w:rsidRPr="00806349">
        <w:rPr>
          <w:color w:val="000000"/>
          <w:u w:val="double"/>
          <w:lang w:val="en-IE"/>
        </w:rPr>
        <w:t>–3</w:t>
      </w:r>
      <w:r w:rsidRPr="00806349">
        <w:rPr>
          <w:color w:val="000000"/>
          <w:u w:val="double"/>
          <w:lang w:val="en-IE"/>
        </w:rPr>
        <w:t>22.</w:t>
      </w:r>
    </w:p>
    <w:p w14:paraId="4073807C" w14:textId="0B9CEEE7" w:rsidR="001D593A" w:rsidRPr="00806349" w:rsidRDefault="001D593A" w:rsidP="000D47FC">
      <w:pPr>
        <w:pStyle w:val="Ref"/>
        <w:tabs>
          <w:tab w:val="clear" w:pos="-720"/>
        </w:tabs>
        <w:rPr>
          <w:lang w:val="en-IE"/>
        </w:rPr>
      </w:pPr>
      <w:r w:rsidRPr="00806349">
        <w:rPr>
          <w:smallCaps/>
          <w:lang w:val="en-IE"/>
        </w:rPr>
        <w:t>Lee L.H. &amp; Lee K.H.</w:t>
      </w:r>
      <w:r w:rsidRPr="00806349">
        <w:rPr>
          <w:lang w:val="en-IE"/>
        </w:rPr>
        <w:t xml:space="preserve"> (1997). Application of the polymerase chain reaction for the diagnosis of fowl</w:t>
      </w:r>
      <w:r w:rsidR="00B122EB" w:rsidRPr="00806349">
        <w:rPr>
          <w:lang w:val="en-IE"/>
        </w:rPr>
        <w:t xml:space="preserve"> </w:t>
      </w:r>
      <w:r w:rsidRPr="00806349">
        <w:rPr>
          <w:lang w:val="en-IE"/>
        </w:rPr>
        <w:t xml:space="preserve">poxvirus infection. </w:t>
      </w:r>
      <w:r w:rsidRPr="00806349">
        <w:rPr>
          <w:i/>
          <w:iCs/>
          <w:lang w:val="en-IE"/>
        </w:rPr>
        <w:t>J. Virol. Methods,</w:t>
      </w:r>
      <w:r w:rsidRPr="00806349">
        <w:rPr>
          <w:lang w:val="en-IE"/>
        </w:rPr>
        <w:t xml:space="preserve"> </w:t>
      </w:r>
      <w:r w:rsidRPr="00806349">
        <w:rPr>
          <w:b/>
          <w:bCs/>
          <w:lang w:val="en-IE"/>
        </w:rPr>
        <w:t>63</w:t>
      </w:r>
      <w:r w:rsidRPr="00806349">
        <w:rPr>
          <w:lang w:val="en-IE"/>
        </w:rPr>
        <w:t>, 113–119.</w:t>
      </w:r>
    </w:p>
    <w:p w14:paraId="50E6BF46" w14:textId="4A682C3A" w:rsidR="007F78C9" w:rsidRPr="00806349" w:rsidRDefault="001D593A" w:rsidP="000D47FC">
      <w:pPr>
        <w:pStyle w:val="Ref"/>
        <w:tabs>
          <w:tab w:val="clear" w:pos="-720"/>
        </w:tabs>
        <w:rPr>
          <w:lang w:val="en-IE"/>
        </w:rPr>
      </w:pPr>
      <w:r w:rsidRPr="00806349">
        <w:rPr>
          <w:smallCaps/>
          <w:lang w:val="en-IE"/>
        </w:rPr>
        <w:t>Morita</w:t>
      </w:r>
      <w:r w:rsidRPr="00806349">
        <w:rPr>
          <w:lang w:val="en-IE"/>
        </w:rPr>
        <w:t xml:space="preserve"> C. (1973). Studies on </w:t>
      </w:r>
      <w:proofErr w:type="spellStart"/>
      <w:r w:rsidRPr="00806349">
        <w:rPr>
          <w:lang w:val="en-IE"/>
        </w:rPr>
        <w:t>fowlpox</w:t>
      </w:r>
      <w:proofErr w:type="spellEnd"/>
      <w:r w:rsidRPr="00806349">
        <w:rPr>
          <w:lang w:val="en-IE"/>
        </w:rPr>
        <w:t xml:space="preserve"> viruses. II. Plaque</w:t>
      </w:r>
      <w:r w:rsidR="00B122EB" w:rsidRPr="00806349">
        <w:rPr>
          <w:lang w:val="en-IE"/>
        </w:rPr>
        <w:t>-</w:t>
      </w:r>
      <w:r w:rsidRPr="00806349">
        <w:rPr>
          <w:lang w:val="en-IE"/>
        </w:rPr>
        <w:t xml:space="preserve">neutralization test. </w:t>
      </w:r>
      <w:r w:rsidRPr="00806349">
        <w:rPr>
          <w:i/>
          <w:iCs/>
          <w:lang w:val="en-IE"/>
        </w:rPr>
        <w:t>Avian Dis</w:t>
      </w:r>
      <w:r w:rsidRPr="00806349">
        <w:rPr>
          <w:lang w:val="en-IE"/>
        </w:rPr>
        <w:t xml:space="preserve">., </w:t>
      </w:r>
      <w:r w:rsidRPr="00806349">
        <w:rPr>
          <w:b/>
          <w:bCs/>
          <w:lang w:val="en-IE"/>
        </w:rPr>
        <w:t>17</w:t>
      </w:r>
      <w:r w:rsidRPr="00806349">
        <w:rPr>
          <w:lang w:val="en-IE"/>
        </w:rPr>
        <w:t>, 93–98.</w:t>
      </w:r>
    </w:p>
    <w:p w14:paraId="1FA8CDE3" w14:textId="1BEC5928" w:rsidR="00C17398" w:rsidRDefault="00C17398" w:rsidP="00FC48AB">
      <w:pPr>
        <w:pStyle w:val="Ref"/>
        <w:rPr>
          <w:u w:val="double"/>
        </w:rPr>
      </w:pPr>
      <w:r w:rsidRPr="00806349">
        <w:rPr>
          <w:smallCaps/>
          <w:u w:val="double"/>
        </w:rPr>
        <w:t xml:space="preserve">Offerman K., </w:t>
      </w:r>
      <w:proofErr w:type="spellStart"/>
      <w:r w:rsidRPr="00806349">
        <w:rPr>
          <w:smallCaps/>
          <w:u w:val="double"/>
        </w:rPr>
        <w:t>Carulei</w:t>
      </w:r>
      <w:proofErr w:type="spellEnd"/>
      <w:r w:rsidRPr="00806349">
        <w:rPr>
          <w:smallCaps/>
          <w:u w:val="double"/>
        </w:rPr>
        <w:t xml:space="preserve"> </w:t>
      </w:r>
      <w:r w:rsidR="0034229F" w:rsidRPr="00806349">
        <w:rPr>
          <w:smallCaps/>
          <w:u w:val="double"/>
        </w:rPr>
        <w:t xml:space="preserve">O., </w:t>
      </w:r>
      <w:r w:rsidRPr="00806349">
        <w:rPr>
          <w:smallCaps/>
          <w:u w:val="double"/>
        </w:rPr>
        <w:t xml:space="preserve">van der Walt </w:t>
      </w:r>
      <w:r w:rsidR="0034229F" w:rsidRPr="00806349">
        <w:rPr>
          <w:smallCaps/>
          <w:u w:val="double"/>
        </w:rPr>
        <w:t xml:space="preserve">A.P., </w:t>
      </w:r>
      <w:r w:rsidRPr="00806349">
        <w:rPr>
          <w:smallCaps/>
          <w:u w:val="double"/>
        </w:rPr>
        <w:t>Douglass</w:t>
      </w:r>
      <w:r w:rsidR="0034229F" w:rsidRPr="00806349">
        <w:rPr>
          <w:smallCaps/>
          <w:u w:val="double"/>
        </w:rPr>
        <w:t xml:space="preserve"> N. &amp; </w:t>
      </w:r>
      <w:r w:rsidRPr="00806349">
        <w:rPr>
          <w:smallCaps/>
          <w:u w:val="double"/>
        </w:rPr>
        <w:t>Williamson</w:t>
      </w:r>
      <w:r w:rsidR="0034229F" w:rsidRPr="00806349">
        <w:rPr>
          <w:smallCaps/>
          <w:u w:val="double"/>
        </w:rPr>
        <w:t xml:space="preserve"> A-L.</w:t>
      </w:r>
      <w:r w:rsidRPr="00806349">
        <w:rPr>
          <w:u w:val="double"/>
        </w:rPr>
        <w:t xml:space="preserve"> (2014). The complete genome sequences of poxviruses isolated from a penguin and a pigeon in South Africa and comparison to other sequenced </w:t>
      </w:r>
      <w:proofErr w:type="spellStart"/>
      <w:r w:rsidRPr="00806349">
        <w:rPr>
          <w:u w:val="double"/>
        </w:rPr>
        <w:t>avipoxviruses</w:t>
      </w:r>
      <w:proofErr w:type="spellEnd"/>
      <w:r w:rsidRPr="00806349">
        <w:rPr>
          <w:u w:val="double"/>
        </w:rPr>
        <w:t xml:space="preserve">. </w:t>
      </w:r>
      <w:r w:rsidRPr="00806349">
        <w:rPr>
          <w:i/>
          <w:iCs/>
          <w:u w:val="double"/>
        </w:rPr>
        <w:t>BMC Genomics</w:t>
      </w:r>
      <w:r w:rsidRPr="00806349">
        <w:rPr>
          <w:u w:val="double"/>
        </w:rPr>
        <w:t xml:space="preserve">, </w:t>
      </w:r>
      <w:r w:rsidRPr="00806349">
        <w:rPr>
          <w:b/>
          <w:bCs/>
          <w:u w:val="double"/>
        </w:rPr>
        <w:t>15</w:t>
      </w:r>
      <w:r w:rsidRPr="00806349">
        <w:rPr>
          <w:u w:val="double"/>
        </w:rPr>
        <w:t xml:space="preserve">, 463. </w:t>
      </w:r>
    </w:p>
    <w:p w14:paraId="5525182A" w14:textId="48A4513E" w:rsidR="00CB578A" w:rsidRPr="00806349" w:rsidRDefault="001303EA" w:rsidP="00FC48AB">
      <w:pPr>
        <w:pStyle w:val="Ref"/>
        <w:rPr>
          <w:u w:val="double"/>
        </w:rPr>
      </w:pPr>
      <w:proofErr w:type="spellStart"/>
      <w:r w:rsidRPr="001303EA">
        <w:rPr>
          <w:smallCaps/>
          <w:u w:val="double"/>
        </w:rPr>
        <w:t>Ottiger</w:t>
      </w:r>
      <w:proofErr w:type="spellEnd"/>
      <w:r>
        <w:rPr>
          <w:u w:val="double"/>
        </w:rPr>
        <w:t xml:space="preserve"> </w:t>
      </w:r>
      <w:r w:rsidR="00CB578A">
        <w:rPr>
          <w:u w:val="double"/>
        </w:rPr>
        <w:t xml:space="preserve">H. (2010). Development, standardization and assessment of PCR systems for purity testing of avian viral vaccines. </w:t>
      </w:r>
      <w:r w:rsidR="00CB578A" w:rsidRPr="001303EA">
        <w:rPr>
          <w:i/>
          <w:u w:val="double"/>
        </w:rPr>
        <w:t>Biologicals</w:t>
      </w:r>
      <w:r w:rsidR="00CB578A">
        <w:rPr>
          <w:u w:val="double"/>
        </w:rPr>
        <w:t xml:space="preserve">, </w:t>
      </w:r>
      <w:r w:rsidR="00CB578A" w:rsidRPr="001303EA">
        <w:rPr>
          <w:b/>
          <w:u w:val="double"/>
        </w:rPr>
        <w:t>38</w:t>
      </w:r>
      <w:r w:rsidR="00CB578A">
        <w:rPr>
          <w:u w:val="double"/>
        </w:rPr>
        <w:t>, 381</w:t>
      </w:r>
      <w:r>
        <w:rPr>
          <w:u w:val="double"/>
        </w:rPr>
        <w:t>–</w:t>
      </w:r>
      <w:r w:rsidR="00CB578A">
        <w:rPr>
          <w:u w:val="double"/>
        </w:rPr>
        <w:t>388.</w:t>
      </w:r>
    </w:p>
    <w:p w14:paraId="464013BE" w14:textId="44FE9C2B" w:rsidR="000424B9" w:rsidRPr="00806349" w:rsidRDefault="000424B9" w:rsidP="00FC48AB">
      <w:pPr>
        <w:pStyle w:val="Ref"/>
        <w:rPr>
          <w:u w:val="double"/>
        </w:rPr>
      </w:pPr>
      <w:r w:rsidRPr="00806349">
        <w:rPr>
          <w:smallCaps/>
          <w:u w:val="double"/>
        </w:rPr>
        <w:t>Sanchez S.</w:t>
      </w:r>
      <w:r w:rsidR="006832DE" w:rsidRPr="00806349">
        <w:rPr>
          <w:smallCaps/>
          <w:u w:val="double"/>
        </w:rPr>
        <w:t xml:space="preserve"> &amp;</w:t>
      </w:r>
      <w:r w:rsidRPr="00806349">
        <w:rPr>
          <w:smallCaps/>
          <w:u w:val="double"/>
        </w:rPr>
        <w:t xml:space="preserve"> Sellers</w:t>
      </w:r>
      <w:r w:rsidRPr="00806349">
        <w:rPr>
          <w:u w:val="double"/>
        </w:rPr>
        <w:t xml:space="preserve"> H. (2015)</w:t>
      </w:r>
      <w:r w:rsidR="006832DE" w:rsidRPr="00806349">
        <w:rPr>
          <w:u w:val="double"/>
        </w:rPr>
        <w:t>.</w:t>
      </w:r>
      <w:r w:rsidRPr="00806349">
        <w:rPr>
          <w:u w:val="double"/>
        </w:rPr>
        <w:t xml:space="preserve"> Biological Specimen Collection and Processing for Molecular Analysis. </w:t>
      </w:r>
      <w:r w:rsidRPr="00806349">
        <w:rPr>
          <w:i/>
          <w:iCs/>
          <w:u w:val="double"/>
        </w:rPr>
        <w:t>In:</w:t>
      </w:r>
      <w:r w:rsidRPr="00806349">
        <w:rPr>
          <w:u w:val="double"/>
        </w:rPr>
        <w:t xml:space="preserve"> Veterinary Infection Biology: Molecular Diagnostics and High-Throughput Strategies. Methods in Molecular Biology (Methods and Protocols), </w:t>
      </w:r>
      <w:r w:rsidR="006832DE" w:rsidRPr="00806349">
        <w:rPr>
          <w:u w:val="double"/>
        </w:rPr>
        <w:t xml:space="preserve">Vol. </w:t>
      </w:r>
      <w:r w:rsidRPr="00806349">
        <w:rPr>
          <w:u w:val="double"/>
        </w:rPr>
        <w:t>1247</w:t>
      </w:r>
      <w:r w:rsidR="006832DE" w:rsidRPr="00806349">
        <w:rPr>
          <w:u w:val="double"/>
        </w:rPr>
        <w:t>, Cunha M. &amp; Inácio J., eds</w:t>
      </w:r>
      <w:r w:rsidRPr="00806349">
        <w:rPr>
          <w:u w:val="double"/>
        </w:rPr>
        <w:t xml:space="preserve">. Humana Press, New York, </w:t>
      </w:r>
      <w:r w:rsidR="006832DE" w:rsidRPr="00806349">
        <w:rPr>
          <w:u w:val="double"/>
        </w:rPr>
        <w:t>USA</w:t>
      </w:r>
      <w:r w:rsidRPr="00806349">
        <w:rPr>
          <w:u w:val="double"/>
        </w:rPr>
        <w:t>. https://doi.org/10.1007/978-1-4939-2004-4_5.</w:t>
      </w:r>
    </w:p>
    <w:p w14:paraId="2C594678" w14:textId="56273B77" w:rsidR="007F78C9" w:rsidRPr="00806349" w:rsidRDefault="007F78C9" w:rsidP="00C10710">
      <w:pPr>
        <w:pStyle w:val="Ref"/>
        <w:rPr>
          <w:u w:val="double"/>
        </w:rPr>
      </w:pPr>
      <w:r w:rsidRPr="00806349">
        <w:rPr>
          <w:smallCaps/>
          <w:u w:val="double"/>
        </w:rPr>
        <w:t>Sarkar S</w:t>
      </w:r>
      <w:r w:rsidR="000D47FC" w:rsidRPr="00806349">
        <w:rPr>
          <w:smallCaps/>
          <w:u w:val="double"/>
        </w:rPr>
        <w:t>.</w:t>
      </w:r>
      <w:r w:rsidRPr="00806349">
        <w:rPr>
          <w:smallCaps/>
          <w:u w:val="double"/>
        </w:rPr>
        <w:t>, Athukorala A</w:t>
      </w:r>
      <w:r w:rsidR="000D47FC" w:rsidRPr="00806349">
        <w:rPr>
          <w:smallCaps/>
          <w:u w:val="double"/>
        </w:rPr>
        <w:t>.</w:t>
      </w:r>
      <w:r w:rsidRPr="00806349">
        <w:rPr>
          <w:smallCaps/>
          <w:u w:val="double"/>
        </w:rPr>
        <w:t xml:space="preserve">, Bowden T.R. </w:t>
      </w:r>
      <w:r w:rsidR="000D47FC" w:rsidRPr="00806349">
        <w:rPr>
          <w:smallCaps/>
          <w:u w:val="double"/>
        </w:rPr>
        <w:t>&amp;</w:t>
      </w:r>
      <w:r w:rsidRPr="00806349">
        <w:rPr>
          <w:smallCaps/>
          <w:u w:val="double"/>
        </w:rPr>
        <w:t xml:space="preserve"> Boyle</w:t>
      </w:r>
      <w:r w:rsidR="000D47FC" w:rsidRPr="00806349">
        <w:rPr>
          <w:smallCaps/>
          <w:u w:val="double"/>
        </w:rPr>
        <w:t>.</w:t>
      </w:r>
      <w:r w:rsidRPr="00806349">
        <w:rPr>
          <w:smallCaps/>
          <w:u w:val="double"/>
        </w:rPr>
        <w:t xml:space="preserve"> D.B</w:t>
      </w:r>
      <w:r w:rsidRPr="00806349">
        <w:rPr>
          <w:u w:val="double"/>
        </w:rPr>
        <w:t xml:space="preserve">. (2021). Characterisation of an Australian </w:t>
      </w:r>
      <w:proofErr w:type="spellStart"/>
      <w:r w:rsidRPr="00806349">
        <w:rPr>
          <w:u w:val="double"/>
        </w:rPr>
        <w:t>fowlpox</w:t>
      </w:r>
      <w:proofErr w:type="spellEnd"/>
      <w:r w:rsidRPr="00806349">
        <w:rPr>
          <w:u w:val="double"/>
        </w:rPr>
        <w:t xml:space="preserve"> virus carrying a near-full-length provirus of </w:t>
      </w:r>
      <w:proofErr w:type="spellStart"/>
      <w:r w:rsidRPr="00806349">
        <w:rPr>
          <w:u w:val="double"/>
        </w:rPr>
        <w:t>reticuloendotheliosis</w:t>
      </w:r>
      <w:proofErr w:type="spellEnd"/>
      <w:r w:rsidRPr="00806349">
        <w:rPr>
          <w:u w:val="double"/>
        </w:rPr>
        <w:t xml:space="preserve"> virus. </w:t>
      </w:r>
      <w:r w:rsidRPr="00806349">
        <w:rPr>
          <w:i/>
          <w:iCs/>
          <w:u w:val="double"/>
        </w:rPr>
        <w:t>Arch</w:t>
      </w:r>
      <w:r w:rsidR="006F1609" w:rsidRPr="00806349">
        <w:rPr>
          <w:i/>
          <w:iCs/>
          <w:u w:val="double"/>
        </w:rPr>
        <w:t>.</w:t>
      </w:r>
      <w:r w:rsidRPr="00806349">
        <w:rPr>
          <w:i/>
          <w:iCs/>
          <w:u w:val="double"/>
        </w:rPr>
        <w:t xml:space="preserve"> Virol</w:t>
      </w:r>
      <w:r w:rsidR="006F1609" w:rsidRPr="00806349">
        <w:rPr>
          <w:u w:val="double"/>
        </w:rPr>
        <w:t>.</w:t>
      </w:r>
      <w:r w:rsidR="000D47FC" w:rsidRPr="00806349">
        <w:rPr>
          <w:u w:val="double"/>
        </w:rPr>
        <w:t>,</w:t>
      </w:r>
      <w:r w:rsidRPr="00806349">
        <w:rPr>
          <w:u w:val="double"/>
        </w:rPr>
        <w:t xml:space="preserve"> </w:t>
      </w:r>
      <w:r w:rsidRPr="00806349">
        <w:rPr>
          <w:b/>
          <w:bCs/>
          <w:u w:val="double"/>
        </w:rPr>
        <w:t>166</w:t>
      </w:r>
      <w:r w:rsidR="000D47FC" w:rsidRPr="00806349">
        <w:rPr>
          <w:u w:val="double"/>
        </w:rPr>
        <w:t>,</w:t>
      </w:r>
      <w:r w:rsidRPr="00806349">
        <w:rPr>
          <w:u w:val="double"/>
        </w:rPr>
        <w:t>1485</w:t>
      </w:r>
      <w:r w:rsidR="000D47FC" w:rsidRPr="00806349">
        <w:rPr>
          <w:u w:val="double"/>
        </w:rPr>
        <w:t>–</w:t>
      </w:r>
      <w:r w:rsidRPr="00806349">
        <w:rPr>
          <w:u w:val="double"/>
        </w:rPr>
        <w:t>1488.</w:t>
      </w:r>
    </w:p>
    <w:p w14:paraId="4073807E" w14:textId="5A810024" w:rsidR="001D593A" w:rsidRPr="00806349" w:rsidRDefault="001D593A" w:rsidP="007043AC">
      <w:pPr>
        <w:pStyle w:val="Ref"/>
        <w:tabs>
          <w:tab w:val="clear" w:pos="-720"/>
        </w:tabs>
        <w:spacing w:after="200"/>
        <w:rPr>
          <w:lang w:val="en-IE"/>
        </w:rPr>
      </w:pPr>
      <w:proofErr w:type="spellStart"/>
      <w:r w:rsidRPr="00806349">
        <w:rPr>
          <w:smallCaps/>
          <w:lang w:val="en-IE"/>
        </w:rPr>
        <w:t>Schnitzlein</w:t>
      </w:r>
      <w:proofErr w:type="spellEnd"/>
      <w:r w:rsidRPr="00806349">
        <w:rPr>
          <w:smallCaps/>
          <w:lang w:val="en-IE"/>
        </w:rPr>
        <w:t xml:space="preserve"> W.M., </w:t>
      </w:r>
      <w:proofErr w:type="spellStart"/>
      <w:r w:rsidRPr="00806349">
        <w:rPr>
          <w:smallCaps/>
          <w:lang w:val="en-IE"/>
        </w:rPr>
        <w:t>Ghildyal</w:t>
      </w:r>
      <w:proofErr w:type="spellEnd"/>
      <w:r w:rsidRPr="00806349">
        <w:rPr>
          <w:smallCaps/>
          <w:lang w:val="en-IE"/>
        </w:rPr>
        <w:t xml:space="preserve"> N. &amp; Tripathy D.N</w:t>
      </w:r>
      <w:r w:rsidRPr="00806349">
        <w:rPr>
          <w:lang w:val="en-IE"/>
        </w:rPr>
        <w:t>. (1988). Genomic and antigenic characteri</w:t>
      </w:r>
      <w:r w:rsidR="00B122EB" w:rsidRPr="00806349">
        <w:rPr>
          <w:lang w:val="en-IE"/>
        </w:rPr>
        <w:t>z</w:t>
      </w:r>
      <w:r w:rsidRPr="00806349">
        <w:rPr>
          <w:lang w:val="en-IE"/>
        </w:rPr>
        <w:t xml:space="preserve">ation of </w:t>
      </w:r>
      <w:proofErr w:type="spellStart"/>
      <w:r w:rsidRPr="00806349">
        <w:rPr>
          <w:lang w:val="en-IE"/>
        </w:rPr>
        <w:t>avipoxviruses</w:t>
      </w:r>
      <w:proofErr w:type="spellEnd"/>
      <w:r w:rsidRPr="00806349">
        <w:rPr>
          <w:lang w:val="en-IE"/>
        </w:rPr>
        <w:t xml:space="preserve">. </w:t>
      </w:r>
      <w:r w:rsidRPr="00806349">
        <w:rPr>
          <w:i/>
          <w:iCs/>
          <w:lang w:val="en-IE"/>
        </w:rPr>
        <w:t>Virus Re</w:t>
      </w:r>
      <w:r w:rsidRPr="00806349">
        <w:rPr>
          <w:lang w:val="en-IE"/>
        </w:rPr>
        <w:t xml:space="preserve">s., </w:t>
      </w:r>
      <w:r w:rsidRPr="00806349">
        <w:rPr>
          <w:b/>
          <w:bCs/>
          <w:lang w:val="en-IE"/>
        </w:rPr>
        <w:t>10</w:t>
      </w:r>
      <w:r w:rsidRPr="00806349">
        <w:rPr>
          <w:lang w:val="en-IE"/>
        </w:rPr>
        <w:t>, 65–76.</w:t>
      </w:r>
    </w:p>
    <w:p w14:paraId="4073807F" w14:textId="1E5A5969" w:rsidR="001D593A" w:rsidRPr="00806349" w:rsidRDefault="001D593A" w:rsidP="007043AC">
      <w:pPr>
        <w:pStyle w:val="Ref"/>
        <w:tabs>
          <w:tab w:val="clear" w:pos="-720"/>
        </w:tabs>
        <w:spacing w:after="200"/>
        <w:rPr>
          <w:rFonts w:cs="Times"/>
          <w:smallCaps/>
          <w:lang w:val="en-IE"/>
        </w:rPr>
      </w:pPr>
      <w:r w:rsidRPr="00806349">
        <w:rPr>
          <w:smallCaps/>
          <w:lang w:val="en-IE"/>
        </w:rPr>
        <w:t>Singh P., Kim T.J. &amp; Tripathy D.N.</w:t>
      </w:r>
      <w:r w:rsidRPr="00806349">
        <w:rPr>
          <w:lang w:val="en-IE"/>
        </w:rPr>
        <w:t xml:space="preserve"> (2000). Re-emerging </w:t>
      </w:r>
      <w:proofErr w:type="spellStart"/>
      <w:r w:rsidRPr="00806349">
        <w:rPr>
          <w:lang w:val="en-IE"/>
        </w:rPr>
        <w:t>fowlpox</w:t>
      </w:r>
      <w:proofErr w:type="spellEnd"/>
      <w:r w:rsidRPr="00806349">
        <w:rPr>
          <w:lang w:val="en-IE"/>
        </w:rPr>
        <w:t xml:space="preserve">: evaluation of isolates from vaccinated flocks. </w:t>
      </w:r>
      <w:r w:rsidRPr="00806349">
        <w:rPr>
          <w:i/>
          <w:iCs/>
          <w:lang w:val="en-IE"/>
        </w:rPr>
        <w:t xml:space="preserve">Avian </w:t>
      </w:r>
      <w:proofErr w:type="spellStart"/>
      <w:r w:rsidRPr="00806349">
        <w:rPr>
          <w:i/>
          <w:iCs/>
          <w:lang w:val="en-IE"/>
        </w:rPr>
        <w:t>Pathol</w:t>
      </w:r>
      <w:proofErr w:type="spellEnd"/>
      <w:r w:rsidRPr="00806349">
        <w:rPr>
          <w:lang w:val="en-IE"/>
        </w:rPr>
        <w:t xml:space="preserve">., </w:t>
      </w:r>
      <w:r w:rsidRPr="00806349">
        <w:rPr>
          <w:b/>
          <w:bCs/>
          <w:lang w:val="en-IE"/>
        </w:rPr>
        <w:t>29</w:t>
      </w:r>
      <w:r w:rsidRPr="00806349">
        <w:rPr>
          <w:lang w:val="en-IE"/>
        </w:rPr>
        <w:t>, 449–455</w:t>
      </w:r>
      <w:r w:rsidR="00CB70F9" w:rsidRPr="00806349">
        <w:rPr>
          <w:lang w:val="en-IE"/>
        </w:rPr>
        <w:t>.</w:t>
      </w:r>
    </w:p>
    <w:p w14:paraId="40738080" w14:textId="77777777" w:rsidR="001D593A" w:rsidRPr="00806349" w:rsidRDefault="001D593A" w:rsidP="007043AC">
      <w:pPr>
        <w:pStyle w:val="Ref"/>
        <w:tabs>
          <w:tab w:val="clear" w:pos="-720"/>
        </w:tabs>
        <w:spacing w:after="200"/>
        <w:rPr>
          <w:strike/>
          <w:lang w:val="de-DE"/>
        </w:rPr>
      </w:pPr>
      <w:r w:rsidRPr="00806349">
        <w:rPr>
          <w:smallCaps/>
          <w:strike/>
          <w:lang w:val="en-IE"/>
        </w:rPr>
        <w:t>Singh P., Kim T.-J. &amp; Tripathy D.N.</w:t>
      </w:r>
      <w:r w:rsidRPr="00806349">
        <w:rPr>
          <w:strike/>
          <w:lang w:val="en-IE"/>
        </w:rPr>
        <w:t xml:space="preserve"> (2003a). Identification and characterisation of </w:t>
      </w:r>
      <w:proofErr w:type="spellStart"/>
      <w:r w:rsidRPr="00806349">
        <w:rPr>
          <w:strike/>
          <w:lang w:val="en-IE"/>
        </w:rPr>
        <w:t>fowlpox</w:t>
      </w:r>
      <w:proofErr w:type="spellEnd"/>
      <w:r w:rsidRPr="00806349">
        <w:rPr>
          <w:strike/>
          <w:lang w:val="en-IE"/>
        </w:rPr>
        <w:t xml:space="preserve"> virus strains using monoclonal antibodies. </w:t>
      </w:r>
      <w:r w:rsidRPr="00806349">
        <w:rPr>
          <w:i/>
          <w:iCs/>
          <w:strike/>
          <w:lang w:val="de-DE"/>
        </w:rPr>
        <w:t>J. Vet. Diagn. Invest</w:t>
      </w:r>
      <w:r w:rsidRPr="00806349">
        <w:rPr>
          <w:strike/>
          <w:lang w:val="de-DE"/>
        </w:rPr>
        <w:t xml:space="preserve">., </w:t>
      </w:r>
      <w:r w:rsidRPr="00806349">
        <w:rPr>
          <w:b/>
          <w:bCs/>
          <w:strike/>
          <w:lang w:val="de-DE"/>
        </w:rPr>
        <w:t>15</w:t>
      </w:r>
      <w:r w:rsidRPr="00806349">
        <w:rPr>
          <w:strike/>
          <w:lang w:val="de-DE"/>
        </w:rPr>
        <w:t>, 50–54.</w:t>
      </w:r>
    </w:p>
    <w:p w14:paraId="40738081" w14:textId="77777777" w:rsidR="001D593A" w:rsidRPr="00806349" w:rsidRDefault="001D593A" w:rsidP="007043AC">
      <w:pPr>
        <w:pStyle w:val="Ref"/>
        <w:tabs>
          <w:tab w:val="clear" w:pos="-720"/>
        </w:tabs>
        <w:spacing w:after="200"/>
        <w:rPr>
          <w:color w:val="000000"/>
          <w:lang w:val="en-IE"/>
        </w:rPr>
      </w:pPr>
      <w:r w:rsidRPr="00806349">
        <w:rPr>
          <w:smallCaps/>
          <w:color w:val="000000"/>
          <w:lang w:val="de-DE"/>
        </w:rPr>
        <w:t xml:space="preserve">Singh P., Schnitzlein W.M. &amp; Tripathy D.N. </w:t>
      </w:r>
      <w:r w:rsidRPr="00806349">
        <w:rPr>
          <w:color w:val="000000"/>
          <w:lang w:val="de-DE"/>
        </w:rPr>
        <w:t>(2003</w:t>
      </w:r>
      <w:r w:rsidRPr="00806349">
        <w:rPr>
          <w:strike/>
          <w:color w:val="000000"/>
          <w:lang w:val="de-DE"/>
        </w:rPr>
        <w:t>b</w:t>
      </w:r>
      <w:r w:rsidRPr="00806349">
        <w:rPr>
          <w:color w:val="000000"/>
          <w:lang w:val="de-DE"/>
        </w:rPr>
        <w:t xml:space="preserve">). </w:t>
      </w:r>
      <w:proofErr w:type="spellStart"/>
      <w:r w:rsidRPr="00806349">
        <w:rPr>
          <w:color w:val="000000"/>
          <w:lang w:val="en-IE"/>
        </w:rPr>
        <w:t>Reticuloendotheliosis</w:t>
      </w:r>
      <w:proofErr w:type="spellEnd"/>
      <w:r w:rsidRPr="00806349">
        <w:rPr>
          <w:color w:val="000000"/>
          <w:lang w:val="en-IE"/>
        </w:rPr>
        <w:t xml:space="preserve"> virus sequences within the genomes of field strains of </w:t>
      </w:r>
      <w:proofErr w:type="spellStart"/>
      <w:r w:rsidRPr="00806349">
        <w:rPr>
          <w:color w:val="000000"/>
          <w:lang w:val="en-IE"/>
        </w:rPr>
        <w:t>fowlpox</w:t>
      </w:r>
      <w:proofErr w:type="spellEnd"/>
      <w:r w:rsidRPr="00806349">
        <w:rPr>
          <w:color w:val="000000"/>
          <w:lang w:val="en-IE"/>
        </w:rPr>
        <w:t xml:space="preserve"> virus display variability</w:t>
      </w:r>
      <w:r w:rsidRPr="00806349">
        <w:rPr>
          <w:i/>
          <w:iCs/>
          <w:color w:val="000000"/>
          <w:lang w:val="en-IE"/>
        </w:rPr>
        <w:t>. J. Virol</w:t>
      </w:r>
      <w:r w:rsidRPr="00806349">
        <w:rPr>
          <w:color w:val="000000"/>
          <w:lang w:val="en-IE"/>
        </w:rPr>
        <w:t xml:space="preserve">., </w:t>
      </w:r>
      <w:r w:rsidRPr="00806349">
        <w:rPr>
          <w:b/>
          <w:bCs/>
          <w:color w:val="000000"/>
          <w:lang w:val="en-IE"/>
        </w:rPr>
        <w:t>77</w:t>
      </w:r>
      <w:r w:rsidRPr="00806349">
        <w:rPr>
          <w:color w:val="000000"/>
          <w:lang w:val="en-IE"/>
        </w:rPr>
        <w:t>, 5855–5862.</w:t>
      </w:r>
    </w:p>
    <w:p w14:paraId="40738082" w14:textId="4BBCFF47" w:rsidR="001D593A" w:rsidRPr="00806349" w:rsidRDefault="001D593A" w:rsidP="007043AC">
      <w:pPr>
        <w:pStyle w:val="Ref"/>
        <w:tabs>
          <w:tab w:val="clear" w:pos="-720"/>
        </w:tabs>
        <w:spacing w:after="200"/>
        <w:rPr>
          <w:strike/>
          <w:color w:val="000000"/>
          <w:lang w:val="en-IE"/>
        </w:rPr>
      </w:pPr>
      <w:r w:rsidRPr="00806349">
        <w:rPr>
          <w:smallCaps/>
          <w:strike/>
          <w:color w:val="000000"/>
          <w:lang w:val="en-IE"/>
        </w:rPr>
        <w:t>Singh P. &amp; Tripathy D.N</w:t>
      </w:r>
      <w:r w:rsidRPr="00806349">
        <w:rPr>
          <w:strike/>
          <w:color w:val="000000"/>
          <w:lang w:val="en-IE"/>
        </w:rPr>
        <w:t>. (2000). Characterization of monoclonal antibodies against fowl</w:t>
      </w:r>
      <w:r w:rsidR="00B122EB" w:rsidRPr="00806349">
        <w:rPr>
          <w:strike/>
          <w:color w:val="000000"/>
          <w:lang w:val="en-IE"/>
        </w:rPr>
        <w:t xml:space="preserve"> </w:t>
      </w:r>
      <w:r w:rsidRPr="00806349">
        <w:rPr>
          <w:strike/>
          <w:color w:val="000000"/>
          <w:lang w:val="en-IE"/>
        </w:rPr>
        <w:t xml:space="preserve">poxvirus. </w:t>
      </w:r>
      <w:r w:rsidRPr="00806349">
        <w:rPr>
          <w:i/>
          <w:iCs/>
          <w:strike/>
          <w:color w:val="000000"/>
          <w:lang w:val="en-IE"/>
        </w:rPr>
        <w:t>Avian</w:t>
      </w:r>
      <w:r w:rsidRPr="00806349">
        <w:rPr>
          <w:strike/>
          <w:color w:val="000000"/>
          <w:lang w:val="en-IE"/>
        </w:rPr>
        <w:t xml:space="preserve"> </w:t>
      </w:r>
      <w:r w:rsidRPr="00806349">
        <w:rPr>
          <w:i/>
          <w:iCs/>
          <w:strike/>
          <w:color w:val="000000"/>
          <w:lang w:val="en-IE"/>
        </w:rPr>
        <w:t>Dis.,</w:t>
      </w:r>
      <w:r w:rsidRPr="00806349">
        <w:rPr>
          <w:strike/>
          <w:color w:val="000000"/>
          <w:lang w:val="en-IE"/>
        </w:rPr>
        <w:t xml:space="preserve"> </w:t>
      </w:r>
      <w:r w:rsidRPr="00806349">
        <w:rPr>
          <w:b/>
          <w:bCs/>
          <w:strike/>
          <w:color w:val="000000"/>
          <w:lang w:val="en-IE"/>
        </w:rPr>
        <w:t>44</w:t>
      </w:r>
      <w:r w:rsidRPr="00806349">
        <w:rPr>
          <w:strike/>
          <w:color w:val="000000"/>
          <w:lang w:val="en-IE"/>
        </w:rPr>
        <w:t>, 365–371.</w:t>
      </w:r>
    </w:p>
    <w:p w14:paraId="40738083" w14:textId="77777777" w:rsidR="001D593A" w:rsidRPr="00806349" w:rsidRDefault="001D593A" w:rsidP="00C10710">
      <w:pPr>
        <w:pStyle w:val="Ref"/>
      </w:pPr>
      <w:r w:rsidRPr="00806349">
        <w:rPr>
          <w:smallCaps/>
        </w:rPr>
        <w:t xml:space="preserve">Srinivasan V., </w:t>
      </w:r>
      <w:proofErr w:type="spellStart"/>
      <w:r w:rsidRPr="00806349">
        <w:rPr>
          <w:smallCaps/>
        </w:rPr>
        <w:t>Schnitzlein</w:t>
      </w:r>
      <w:proofErr w:type="spellEnd"/>
      <w:r w:rsidRPr="00806349">
        <w:rPr>
          <w:smallCaps/>
        </w:rPr>
        <w:t xml:space="preserve"> W.M. &amp; Tripathy D.N.</w:t>
      </w:r>
      <w:r w:rsidRPr="00806349">
        <w:t xml:space="preserve"> (2001). </w:t>
      </w:r>
      <w:proofErr w:type="spellStart"/>
      <w:r w:rsidRPr="00806349">
        <w:t>Fowlpox</w:t>
      </w:r>
      <w:proofErr w:type="spellEnd"/>
      <w:r w:rsidRPr="00806349">
        <w:t xml:space="preserve"> virus encodes a novel DNA repair enzyme, CPD-photolyase, that restores infectivity of UV light-damaged virus. </w:t>
      </w:r>
      <w:r w:rsidRPr="00806349">
        <w:rPr>
          <w:i/>
          <w:iCs/>
        </w:rPr>
        <w:t>J. Virol</w:t>
      </w:r>
      <w:r w:rsidRPr="00806349">
        <w:t xml:space="preserve">., </w:t>
      </w:r>
      <w:r w:rsidRPr="00806349">
        <w:rPr>
          <w:b/>
          <w:bCs/>
        </w:rPr>
        <w:t>75</w:t>
      </w:r>
      <w:r w:rsidRPr="00806349">
        <w:t>, 1681–1688.</w:t>
      </w:r>
    </w:p>
    <w:p w14:paraId="40738084" w14:textId="77777777" w:rsidR="001D593A" w:rsidRPr="00806349" w:rsidRDefault="001D593A" w:rsidP="00C10710">
      <w:pPr>
        <w:pStyle w:val="Ref"/>
      </w:pPr>
      <w:r w:rsidRPr="00806349">
        <w:rPr>
          <w:smallCaps/>
        </w:rPr>
        <w:t>Srinivasan V. &amp; Tripathy</w:t>
      </w:r>
      <w:r w:rsidRPr="00806349">
        <w:t xml:space="preserve"> D.N. (2005). The DNA repair enzyme, CPD-photolyase restores the infectivity of UV-damaged </w:t>
      </w:r>
      <w:proofErr w:type="spellStart"/>
      <w:r w:rsidRPr="00806349">
        <w:t>fowlpox</w:t>
      </w:r>
      <w:proofErr w:type="spellEnd"/>
      <w:r w:rsidRPr="00806349">
        <w:t xml:space="preserve"> virus isolated from infected scabs of chickens. </w:t>
      </w:r>
      <w:r w:rsidRPr="00806349">
        <w:rPr>
          <w:i/>
          <w:iCs/>
        </w:rPr>
        <w:t xml:space="preserve">Vet. </w:t>
      </w:r>
      <w:proofErr w:type="spellStart"/>
      <w:r w:rsidRPr="00806349">
        <w:rPr>
          <w:i/>
          <w:iCs/>
        </w:rPr>
        <w:t>Microbiol</w:t>
      </w:r>
      <w:proofErr w:type="spellEnd"/>
      <w:r w:rsidRPr="00806349">
        <w:t xml:space="preserve">., </w:t>
      </w:r>
      <w:r w:rsidRPr="00806349">
        <w:rPr>
          <w:b/>
          <w:bCs/>
        </w:rPr>
        <w:t>108</w:t>
      </w:r>
      <w:r w:rsidRPr="00806349">
        <w:t>, 215–223.</w:t>
      </w:r>
    </w:p>
    <w:p w14:paraId="40738085" w14:textId="77777777" w:rsidR="001D593A" w:rsidRPr="00806349" w:rsidRDefault="001D593A" w:rsidP="007043AC">
      <w:pPr>
        <w:pStyle w:val="Ref"/>
        <w:tabs>
          <w:tab w:val="clear" w:pos="-720"/>
        </w:tabs>
        <w:spacing w:after="200"/>
        <w:rPr>
          <w:color w:val="000000"/>
          <w:lang w:val="en-IE"/>
        </w:rPr>
      </w:pPr>
      <w:bookmarkStart w:id="1" w:name="_Hlk108628483"/>
      <w:r w:rsidRPr="00806349">
        <w:rPr>
          <w:smallCaps/>
          <w:color w:val="000000"/>
          <w:lang w:val="en-IE"/>
        </w:rPr>
        <w:t>Tripathy D.N</w:t>
      </w:r>
      <w:r w:rsidRPr="00806349">
        <w:rPr>
          <w:color w:val="000000"/>
          <w:lang w:val="en-IE"/>
        </w:rPr>
        <w:t xml:space="preserve">. (1993). </w:t>
      </w:r>
      <w:proofErr w:type="spellStart"/>
      <w:r w:rsidRPr="00806349">
        <w:rPr>
          <w:color w:val="000000"/>
          <w:lang w:val="en-IE"/>
        </w:rPr>
        <w:t>Avipoxviruses</w:t>
      </w:r>
      <w:proofErr w:type="spellEnd"/>
      <w:r w:rsidRPr="00806349">
        <w:rPr>
          <w:color w:val="000000"/>
          <w:lang w:val="en-IE"/>
        </w:rPr>
        <w:t xml:space="preserve">. </w:t>
      </w:r>
      <w:r w:rsidRPr="00806349">
        <w:rPr>
          <w:i/>
          <w:iCs/>
          <w:color w:val="000000"/>
          <w:lang w:val="en-IE"/>
        </w:rPr>
        <w:t>In:</w:t>
      </w:r>
      <w:r w:rsidRPr="00806349">
        <w:rPr>
          <w:color w:val="000000"/>
          <w:lang w:val="en-IE"/>
        </w:rPr>
        <w:t xml:space="preserve"> Virus Infections of Vertebrates – Virus Infections of Birds, Vol. 4, McFerran J.B. &amp; McNulty M.S., eds. Elsevier Science Publishers, Amsterdam, the Netherlands, 5–15.</w:t>
      </w:r>
    </w:p>
    <w:p w14:paraId="40738086" w14:textId="330100BF" w:rsidR="001D593A" w:rsidRPr="00806349" w:rsidRDefault="001D593A" w:rsidP="007043AC">
      <w:pPr>
        <w:pStyle w:val="Ref"/>
        <w:tabs>
          <w:tab w:val="clear" w:pos="-720"/>
        </w:tabs>
        <w:spacing w:after="200"/>
        <w:rPr>
          <w:color w:val="000000"/>
          <w:lang w:val="en-IE"/>
        </w:rPr>
      </w:pPr>
      <w:r w:rsidRPr="0033377B">
        <w:rPr>
          <w:smallCaps/>
          <w:color w:val="000000"/>
        </w:rPr>
        <w:lastRenderedPageBreak/>
        <w:t>Tripathy D.N. &amp; Hanson L.E.</w:t>
      </w:r>
      <w:r w:rsidRPr="0033377B">
        <w:rPr>
          <w:color w:val="000000"/>
        </w:rPr>
        <w:t xml:space="preserve"> (1976). </w:t>
      </w:r>
      <w:r w:rsidRPr="00806349">
        <w:rPr>
          <w:color w:val="000000"/>
          <w:lang w:val="en-IE"/>
        </w:rPr>
        <w:t xml:space="preserve">A smear technique for staining elementary bodies of </w:t>
      </w:r>
      <w:proofErr w:type="spellStart"/>
      <w:r w:rsidRPr="00806349">
        <w:rPr>
          <w:color w:val="000000"/>
          <w:lang w:val="en-IE"/>
        </w:rPr>
        <w:t>fowlpox</w:t>
      </w:r>
      <w:proofErr w:type="spellEnd"/>
      <w:r w:rsidRPr="00806349">
        <w:rPr>
          <w:color w:val="000000"/>
          <w:lang w:val="en-IE"/>
        </w:rPr>
        <w:t xml:space="preserve">. </w:t>
      </w:r>
      <w:r w:rsidRPr="00806349">
        <w:rPr>
          <w:i/>
          <w:iCs/>
          <w:color w:val="000000"/>
          <w:lang w:val="en-IE"/>
        </w:rPr>
        <w:t>Avian Dis</w:t>
      </w:r>
      <w:r w:rsidRPr="00806349">
        <w:rPr>
          <w:color w:val="000000"/>
          <w:lang w:val="en-IE"/>
        </w:rPr>
        <w:t xml:space="preserve">., </w:t>
      </w:r>
      <w:r w:rsidRPr="00806349">
        <w:rPr>
          <w:b/>
          <w:bCs/>
          <w:color w:val="000000"/>
          <w:lang w:val="en-IE"/>
        </w:rPr>
        <w:t>20</w:t>
      </w:r>
      <w:r w:rsidRPr="00806349">
        <w:rPr>
          <w:color w:val="000000"/>
          <w:lang w:val="en-IE"/>
        </w:rPr>
        <w:t>, 609–610</w:t>
      </w:r>
      <w:r w:rsidR="00CB70F9" w:rsidRPr="00806349">
        <w:rPr>
          <w:color w:val="000000"/>
          <w:lang w:val="en-IE"/>
        </w:rPr>
        <w:t>.</w:t>
      </w:r>
    </w:p>
    <w:p w14:paraId="40738087" w14:textId="77777777" w:rsidR="001D593A" w:rsidRPr="00806349" w:rsidRDefault="001D593A" w:rsidP="007043AC">
      <w:pPr>
        <w:pStyle w:val="Ref"/>
        <w:tabs>
          <w:tab w:val="clear" w:pos="-720"/>
        </w:tabs>
        <w:spacing w:after="200"/>
        <w:rPr>
          <w:color w:val="000000"/>
          <w:lang w:val="fr-FR"/>
        </w:rPr>
      </w:pPr>
      <w:r w:rsidRPr="00806349">
        <w:rPr>
          <w:smallCaps/>
          <w:color w:val="000000"/>
          <w:lang w:val="en-IE"/>
        </w:rPr>
        <w:t>Tripathy D.N., Hanson L.E. &amp; Killinger A.H</w:t>
      </w:r>
      <w:r w:rsidRPr="00806349">
        <w:rPr>
          <w:color w:val="000000"/>
          <w:lang w:val="en-IE"/>
        </w:rPr>
        <w:t xml:space="preserve">. (1973). </w:t>
      </w:r>
      <w:proofErr w:type="spellStart"/>
      <w:r w:rsidRPr="00806349">
        <w:rPr>
          <w:color w:val="000000"/>
          <w:lang w:val="en-IE"/>
        </w:rPr>
        <w:t>Immunoperoxidase</w:t>
      </w:r>
      <w:proofErr w:type="spellEnd"/>
      <w:r w:rsidRPr="00806349">
        <w:rPr>
          <w:color w:val="000000"/>
          <w:lang w:val="en-IE"/>
        </w:rPr>
        <w:t xml:space="preserve"> technique for detection of </w:t>
      </w:r>
      <w:proofErr w:type="spellStart"/>
      <w:r w:rsidRPr="00806349">
        <w:rPr>
          <w:color w:val="000000"/>
          <w:lang w:val="en-IE"/>
        </w:rPr>
        <w:t>fowlpox</w:t>
      </w:r>
      <w:proofErr w:type="spellEnd"/>
      <w:r w:rsidRPr="00806349">
        <w:rPr>
          <w:color w:val="000000"/>
          <w:lang w:val="en-IE"/>
        </w:rPr>
        <w:t xml:space="preserve"> antigen. </w:t>
      </w:r>
      <w:r w:rsidRPr="00806349">
        <w:rPr>
          <w:i/>
          <w:iCs/>
          <w:color w:val="000000"/>
          <w:lang w:val="fr-FR"/>
        </w:rPr>
        <w:t>Avian Dis</w:t>
      </w:r>
      <w:r w:rsidRPr="00806349">
        <w:rPr>
          <w:color w:val="000000"/>
          <w:lang w:val="fr-FR"/>
        </w:rPr>
        <w:t xml:space="preserve">., </w:t>
      </w:r>
      <w:r w:rsidRPr="00806349">
        <w:rPr>
          <w:b/>
          <w:bCs/>
          <w:color w:val="000000"/>
          <w:lang w:val="fr-FR"/>
        </w:rPr>
        <w:t>17</w:t>
      </w:r>
      <w:r w:rsidRPr="00806349">
        <w:rPr>
          <w:color w:val="000000"/>
          <w:lang w:val="fr-FR"/>
        </w:rPr>
        <w:t>, 274–278.</w:t>
      </w:r>
    </w:p>
    <w:p w14:paraId="264753BE" w14:textId="77777777" w:rsidR="000D47FC" w:rsidRPr="00806349" w:rsidRDefault="001D593A" w:rsidP="000D47FC">
      <w:pPr>
        <w:pStyle w:val="Ref"/>
        <w:tabs>
          <w:tab w:val="clear" w:pos="-720"/>
        </w:tabs>
        <w:spacing w:after="200"/>
        <w:rPr>
          <w:strike/>
          <w:color w:val="000000"/>
          <w:lang w:val="en-IE"/>
        </w:rPr>
      </w:pPr>
      <w:r w:rsidRPr="00806349">
        <w:rPr>
          <w:smallCaps/>
          <w:strike/>
          <w:color w:val="000000"/>
          <w:lang w:val="fr-FR"/>
        </w:rPr>
        <w:t>Tripathy D.N., Hanson L.E. &amp; Myers W.</w:t>
      </w:r>
      <w:r w:rsidRPr="00806349">
        <w:rPr>
          <w:strike/>
          <w:color w:val="000000"/>
          <w:lang w:val="fr-FR"/>
        </w:rPr>
        <w:t xml:space="preserve">L. (1970). </w:t>
      </w:r>
      <w:r w:rsidRPr="00806349">
        <w:rPr>
          <w:strike/>
          <w:color w:val="000000"/>
          <w:lang w:val="en-IE"/>
        </w:rPr>
        <w:t xml:space="preserve">Passive hemagglutination test with </w:t>
      </w:r>
      <w:proofErr w:type="spellStart"/>
      <w:r w:rsidRPr="00806349">
        <w:rPr>
          <w:strike/>
          <w:color w:val="000000"/>
          <w:lang w:val="en-IE"/>
        </w:rPr>
        <w:t>fowlpox</w:t>
      </w:r>
      <w:proofErr w:type="spellEnd"/>
      <w:r w:rsidRPr="00806349">
        <w:rPr>
          <w:strike/>
          <w:color w:val="000000"/>
          <w:lang w:val="en-IE"/>
        </w:rPr>
        <w:t xml:space="preserve"> virus. </w:t>
      </w:r>
      <w:r w:rsidRPr="00806349">
        <w:rPr>
          <w:i/>
          <w:iCs/>
          <w:strike/>
          <w:color w:val="000000"/>
          <w:lang w:val="en-IE"/>
        </w:rPr>
        <w:t>Avian Dis</w:t>
      </w:r>
      <w:r w:rsidRPr="00806349">
        <w:rPr>
          <w:strike/>
          <w:color w:val="000000"/>
          <w:lang w:val="en-IE"/>
        </w:rPr>
        <w:t xml:space="preserve">., </w:t>
      </w:r>
      <w:r w:rsidRPr="00806349">
        <w:rPr>
          <w:b/>
          <w:bCs/>
          <w:strike/>
          <w:color w:val="000000"/>
          <w:lang w:val="en-IE"/>
        </w:rPr>
        <w:t>14</w:t>
      </w:r>
      <w:r w:rsidRPr="00806349">
        <w:rPr>
          <w:strike/>
          <w:color w:val="000000"/>
          <w:lang w:val="en-IE"/>
        </w:rPr>
        <w:t>, 29–38.</w:t>
      </w:r>
    </w:p>
    <w:p w14:paraId="3686DF66" w14:textId="77777777" w:rsidR="000D47FC" w:rsidRPr="00806349" w:rsidRDefault="000D47FC" w:rsidP="000D47FC">
      <w:pPr>
        <w:pStyle w:val="Ref"/>
        <w:tabs>
          <w:tab w:val="clear" w:pos="-720"/>
        </w:tabs>
        <w:spacing w:after="200"/>
        <w:rPr>
          <w:rFonts w:cs="Times"/>
          <w:strike/>
          <w:color w:val="000000"/>
          <w:lang w:val="en-IE"/>
        </w:rPr>
      </w:pPr>
      <w:r w:rsidRPr="00806349">
        <w:rPr>
          <w:smallCaps/>
          <w:strike/>
          <w:color w:val="000000"/>
          <w:lang w:val="en-IE"/>
        </w:rPr>
        <w:t>Tripathy D.N. &amp; Reed W.M.</w:t>
      </w:r>
      <w:r w:rsidRPr="00806349">
        <w:rPr>
          <w:strike/>
          <w:color w:val="000000"/>
          <w:lang w:val="en-IE"/>
        </w:rPr>
        <w:t xml:space="preserve"> (2013). Pox. </w:t>
      </w:r>
      <w:r w:rsidRPr="00806349">
        <w:rPr>
          <w:i/>
          <w:iCs/>
          <w:strike/>
          <w:color w:val="000000"/>
          <w:lang w:val="en-IE"/>
        </w:rPr>
        <w:t>In:</w:t>
      </w:r>
      <w:r w:rsidRPr="00806349">
        <w:rPr>
          <w:strike/>
          <w:color w:val="000000"/>
          <w:lang w:val="en-IE"/>
        </w:rPr>
        <w:t xml:space="preserve"> Diseases of Poultry, 13th edition, Swayne D.E., Glisson J.R., McDougald L.R., Nolan L.K., Suarez D.L. &amp; Nair V. eds. Wiley-Blackwell, USA, pp 333–349.</w:t>
      </w:r>
    </w:p>
    <w:p w14:paraId="47AF8D1C" w14:textId="61F2E96D" w:rsidR="009931F1" w:rsidRPr="00806349" w:rsidRDefault="009931F1" w:rsidP="000D47FC">
      <w:pPr>
        <w:pStyle w:val="Ref"/>
        <w:tabs>
          <w:tab w:val="clear" w:pos="-720"/>
        </w:tabs>
        <w:spacing w:after="200"/>
        <w:rPr>
          <w:strike/>
          <w:lang w:val="en-IE"/>
        </w:rPr>
      </w:pPr>
      <w:r w:rsidRPr="00806349">
        <w:rPr>
          <w:smallCaps/>
          <w:strike/>
          <w:lang w:val="en-IE"/>
        </w:rPr>
        <w:t>Tripathy D.N. &amp; Reed W.M.</w:t>
      </w:r>
      <w:r w:rsidRPr="00806349">
        <w:rPr>
          <w:strike/>
          <w:lang w:val="en-IE"/>
        </w:rPr>
        <w:t xml:space="preserve"> (2013). Pox. </w:t>
      </w:r>
      <w:r w:rsidRPr="00806349">
        <w:rPr>
          <w:i/>
          <w:iCs/>
          <w:strike/>
          <w:lang w:val="en-IE"/>
        </w:rPr>
        <w:t>In:</w:t>
      </w:r>
      <w:r w:rsidRPr="00806349">
        <w:rPr>
          <w:strike/>
          <w:lang w:val="en-IE"/>
        </w:rPr>
        <w:t xml:space="preserve"> Diseases of Poultry, 13</w:t>
      </w:r>
      <w:r w:rsidRPr="00806349">
        <w:rPr>
          <w:strike/>
          <w:vertAlign w:val="superscript"/>
          <w:lang w:val="en-IE"/>
        </w:rPr>
        <w:t>th</w:t>
      </w:r>
      <w:r w:rsidRPr="00806349">
        <w:rPr>
          <w:strike/>
          <w:lang w:val="en-IE"/>
        </w:rPr>
        <w:t xml:space="preserve"> edition</w:t>
      </w:r>
      <w:r w:rsidRPr="00806349">
        <w:rPr>
          <w:strike/>
          <w:color w:val="000000"/>
          <w:lang w:val="en-IE"/>
        </w:rPr>
        <w:t xml:space="preserve">, Swayne D.E., Glisson J.R., McDougald L.R., Nolan L.K., Suarez D.L., Nair </w:t>
      </w:r>
      <w:proofErr w:type="spellStart"/>
      <w:r w:rsidRPr="00806349">
        <w:rPr>
          <w:strike/>
          <w:color w:val="000000"/>
          <w:lang w:val="en-IE"/>
        </w:rPr>
        <w:t>V.eds</w:t>
      </w:r>
      <w:proofErr w:type="spellEnd"/>
      <w:r w:rsidRPr="00806349">
        <w:rPr>
          <w:strike/>
          <w:color w:val="000000"/>
          <w:lang w:val="en-IE"/>
        </w:rPr>
        <w:t>. Wiley-Blackwell, USA, pp 333-349.</w:t>
      </w:r>
    </w:p>
    <w:p w14:paraId="757BE31F" w14:textId="182F4410" w:rsidR="00F62F6C" w:rsidRPr="00806349" w:rsidRDefault="00F62F6C" w:rsidP="000D47FC">
      <w:pPr>
        <w:pStyle w:val="Ref"/>
        <w:tabs>
          <w:tab w:val="clear" w:pos="-720"/>
        </w:tabs>
        <w:spacing w:after="200"/>
        <w:rPr>
          <w:u w:val="double"/>
          <w:lang w:val="en-IE"/>
        </w:rPr>
      </w:pPr>
      <w:r w:rsidRPr="00806349">
        <w:rPr>
          <w:smallCaps/>
          <w:u w:val="double"/>
          <w:lang w:val="en-IE"/>
        </w:rPr>
        <w:t xml:space="preserve">Tripathy D.N. </w:t>
      </w:r>
      <w:r w:rsidR="000D47FC" w:rsidRPr="00806349">
        <w:rPr>
          <w:smallCaps/>
          <w:u w:val="double"/>
          <w:lang w:val="en-IE"/>
        </w:rPr>
        <w:t>&amp;</w:t>
      </w:r>
      <w:r w:rsidRPr="00806349">
        <w:rPr>
          <w:smallCaps/>
          <w:u w:val="double"/>
          <w:lang w:val="en-IE"/>
        </w:rPr>
        <w:t xml:space="preserve"> Reed W.M.</w:t>
      </w:r>
      <w:r w:rsidRPr="00806349">
        <w:rPr>
          <w:u w:val="double"/>
          <w:lang w:val="en-IE"/>
        </w:rPr>
        <w:t xml:space="preserve"> (2020). Pox. </w:t>
      </w:r>
      <w:r w:rsidRPr="00806349">
        <w:rPr>
          <w:i/>
          <w:iCs/>
          <w:u w:val="double"/>
          <w:lang w:val="en-IE"/>
        </w:rPr>
        <w:t>In:</w:t>
      </w:r>
      <w:r w:rsidRPr="00806349">
        <w:rPr>
          <w:u w:val="double"/>
          <w:lang w:val="en-IE"/>
        </w:rPr>
        <w:t xml:space="preserve"> Diseases of Poultry</w:t>
      </w:r>
      <w:r w:rsidR="000D47FC" w:rsidRPr="00806349">
        <w:rPr>
          <w:u w:val="double"/>
          <w:lang w:val="en-IE"/>
        </w:rPr>
        <w:t>,</w:t>
      </w:r>
      <w:r w:rsidRPr="00806349">
        <w:rPr>
          <w:u w:val="double"/>
          <w:lang w:val="en-IE"/>
        </w:rPr>
        <w:t xml:space="preserve"> 14</w:t>
      </w:r>
      <w:r w:rsidRPr="00806349">
        <w:rPr>
          <w:u w:val="double"/>
          <w:vertAlign w:val="superscript"/>
          <w:lang w:val="en-IE"/>
        </w:rPr>
        <w:t>th</w:t>
      </w:r>
      <w:r w:rsidRPr="00806349">
        <w:rPr>
          <w:u w:val="double"/>
          <w:lang w:val="en-IE"/>
        </w:rPr>
        <w:t xml:space="preserve"> edition</w:t>
      </w:r>
      <w:r w:rsidRPr="00806349">
        <w:rPr>
          <w:color w:val="000000"/>
          <w:u w:val="double"/>
          <w:lang w:val="en-IE"/>
        </w:rPr>
        <w:t xml:space="preserve">, Swayne D.E., </w:t>
      </w:r>
      <w:proofErr w:type="spellStart"/>
      <w:r w:rsidRPr="00806349">
        <w:rPr>
          <w:color w:val="000000"/>
          <w:u w:val="double"/>
          <w:lang w:val="en-IE"/>
        </w:rPr>
        <w:t>Boulianne</w:t>
      </w:r>
      <w:proofErr w:type="spellEnd"/>
      <w:r w:rsidRPr="00806349">
        <w:rPr>
          <w:color w:val="000000"/>
          <w:u w:val="double"/>
          <w:lang w:val="en-IE"/>
        </w:rPr>
        <w:t>, M, Logue, C.M., McDougald L.R., Nair V. &amp;. Suarez D.L. eds. Wiley-Blackwell, USA, pp 364</w:t>
      </w:r>
      <w:r w:rsidR="000D47FC" w:rsidRPr="00806349">
        <w:rPr>
          <w:color w:val="000000"/>
          <w:u w:val="double"/>
          <w:lang w:val="en-IE"/>
        </w:rPr>
        <w:t>–</w:t>
      </w:r>
      <w:r w:rsidRPr="00806349">
        <w:rPr>
          <w:color w:val="000000"/>
          <w:u w:val="double"/>
          <w:lang w:val="en-IE"/>
        </w:rPr>
        <w:t>381</w:t>
      </w:r>
      <w:r w:rsidR="00B46BB9" w:rsidRPr="00806349">
        <w:rPr>
          <w:color w:val="000000"/>
          <w:u w:val="double"/>
          <w:lang w:val="en-IE"/>
        </w:rPr>
        <w:t>.</w:t>
      </w:r>
    </w:p>
    <w:bookmarkEnd w:id="1"/>
    <w:p w14:paraId="457918E6" w14:textId="30462D15" w:rsidR="00D81300" w:rsidRPr="00806349" w:rsidRDefault="00D81300" w:rsidP="00C10710">
      <w:pPr>
        <w:pStyle w:val="Ref"/>
        <w:rPr>
          <w:u w:val="double"/>
        </w:rPr>
      </w:pPr>
      <w:r w:rsidRPr="00806349">
        <w:rPr>
          <w:smallCaps/>
          <w:u w:val="double"/>
        </w:rPr>
        <w:t xml:space="preserve">Tulman E.R., Afonso C.L., Lu Z., </w:t>
      </w:r>
      <w:proofErr w:type="spellStart"/>
      <w:r w:rsidRPr="00806349">
        <w:rPr>
          <w:smallCaps/>
          <w:u w:val="double"/>
        </w:rPr>
        <w:t>Zsak</w:t>
      </w:r>
      <w:proofErr w:type="spellEnd"/>
      <w:r w:rsidRPr="00806349">
        <w:rPr>
          <w:smallCaps/>
          <w:u w:val="double"/>
        </w:rPr>
        <w:t xml:space="preserve"> L., </w:t>
      </w:r>
      <w:proofErr w:type="spellStart"/>
      <w:r w:rsidRPr="00806349">
        <w:rPr>
          <w:smallCaps/>
          <w:u w:val="double"/>
        </w:rPr>
        <w:t>Kutish</w:t>
      </w:r>
      <w:proofErr w:type="spellEnd"/>
      <w:r w:rsidRPr="00806349">
        <w:rPr>
          <w:smallCaps/>
          <w:u w:val="double"/>
        </w:rPr>
        <w:t xml:space="preserve"> G.F. </w:t>
      </w:r>
      <w:r w:rsidR="000D47FC" w:rsidRPr="00806349">
        <w:rPr>
          <w:smallCaps/>
          <w:u w:val="double"/>
        </w:rPr>
        <w:t>&amp;</w:t>
      </w:r>
      <w:r w:rsidRPr="00806349">
        <w:rPr>
          <w:smallCaps/>
          <w:u w:val="double"/>
        </w:rPr>
        <w:t xml:space="preserve"> Rock D.L.</w:t>
      </w:r>
      <w:r w:rsidRPr="00806349">
        <w:rPr>
          <w:u w:val="double"/>
        </w:rPr>
        <w:t xml:space="preserve"> (2004)</w:t>
      </w:r>
      <w:r w:rsidR="000D47FC" w:rsidRPr="00806349">
        <w:rPr>
          <w:u w:val="double"/>
        </w:rPr>
        <w:t>.</w:t>
      </w:r>
      <w:r w:rsidRPr="00806349">
        <w:rPr>
          <w:u w:val="double"/>
        </w:rPr>
        <w:t xml:space="preserve"> The Genome of Canarypox Virus. </w:t>
      </w:r>
      <w:r w:rsidRPr="00806349">
        <w:rPr>
          <w:i/>
          <w:iCs/>
          <w:u w:val="double"/>
        </w:rPr>
        <w:t>J</w:t>
      </w:r>
      <w:r w:rsidR="006F1609" w:rsidRPr="00806349">
        <w:rPr>
          <w:i/>
          <w:iCs/>
          <w:u w:val="double"/>
        </w:rPr>
        <w:t xml:space="preserve">. </w:t>
      </w:r>
      <w:r w:rsidRPr="00806349">
        <w:rPr>
          <w:i/>
          <w:iCs/>
          <w:u w:val="double"/>
        </w:rPr>
        <w:t>V</w:t>
      </w:r>
      <w:r w:rsidR="006F1609" w:rsidRPr="00806349">
        <w:rPr>
          <w:i/>
          <w:iCs/>
          <w:u w:val="double"/>
        </w:rPr>
        <w:t>irol</w:t>
      </w:r>
      <w:r w:rsidR="006F1609" w:rsidRPr="00806349">
        <w:rPr>
          <w:u w:val="double"/>
        </w:rPr>
        <w:t>.</w:t>
      </w:r>
      <w:r w:rsidRPr="00806349">
        <w:rPr>
          <w:u w:val="double"/>
        </w:rPr>
        <w:t xml:space="preserve">, </w:t>
      </w:r>
      <w:r w:rsidR="006F1609" w:rsidRPr="00806349">
        <w:rPr>
          <w:b/>
          <w:bCs/>
          <w:u w:val="double"/>
        </w:rPr>
        <w:t>78</w:t>
      </w:r>
      <w:r w:rsidR="006F1609" w:rsidRPr="00806349">
        <w:rPr>
          <w:u w:val="double"/>
        </w:rPr>
        <w:t xml:space="preserve">, </w:t>
      </w:r>
      <w:r w:rsidRPr="00806349">
        <w:rPr>
          <w:u w:val="double"/>
        </w:rPr>
        <w:t>353–366</w:t>
      </w:r>
      <w:r w:rsidR="000D47FC" w:rsidRPr="00806349">
        <w:rPr>
          <w:u w:val="double"/>
        </w:rPr>
        <w:t>.</w:t>
      </w:r>
    </w:p>
    <w:p w14:paraId="4073808F" w14:textId="09387438" w:rsidR="001D593A" w:rsidRPr="00806349" w:rsidRDefault="001D593A" w:rsidP="00A67A0D">
      <w:pPr>
        <w:pStyle w:val="Ref"/>
        <w:tabs>
          <w:tab w:val="clear" w:pos="-720"/>
        </w:tabs>
        <w:spacing w:after="200"/>
        <w:rPr>
          <w:color w:val="000000"/>
          <w:lang w:val="en-IE"/>
        </w:rPr>
      </w:pPr>
      <w:r w:rsidRPr="00806349">
        <w:rPr>
          <w:smallCaps/>
          <w:color w:val="000000"/>
          <w:lang w:val="en-IE"/>
        </w:rPr>
        <w:t>Winterfield R.W. &amp; Hitchner S.B</w:t>
      </w:r>
      <w:r w:rsidRPr="00806349">
        <w:rPr>
          <w:color w:val="000000"/>
          <w:lang w:val="en-IE"/>
        </w:rPr>
        <w:t xml:space="preserve">. (1965). The response of chickens to vaccination with different concentrations of pigeon pox and </w:t>
      </w:r>
      <w:proofErr w:type="spellStart"/>
      <w:r w:rsidRPr="00806349">
        <w:rPr>
          <w:color w:val="000000"/>
          <w:lang w:val="en-IE"/>
        </w:rPr>
        <w:t>fowlpox</w:t>
      </w:r>
      <w:proofErr w:type="spellEnd"/>
      <w:r w:rsidRPr="00806349">
        <w:rPr>
          <w:color w:val="000000"/>
          <w:lang w:val="en-IE"/>
        </w:rPr>
        <w:t xml:space="preserve"> viruses. </w:t>
      </w:r>
      <w:r w:rsidRPr="00806349">
        <w:rPr>
          <w:i/>
          <w:iCs/>
          <w:color w:val="000000"/>
          <w:lang w:val="en-IE"/>
        </w:rPr>
        <w:t>Avian Dis</w:t>
      </w:r>
      <w:r w:rsidRPr="00806349">
        <w:rPr>
          <w:color w:val="000000"/>
          <w:lang w:val="en-IE"/>
        </w:rPr>
        <w:t xml:space="preserve">., </w:t>
      </w:r>
      <w:r w:rsidRPr="00806349">
        <w:rPr>
          <w:b/>
          <w:bCs/>
          <w:color w:val="000000"/>
          <w:lang w:val="en-IE"/>
        </w:rPr>
        <w:t>9</w:t>
      </w:r>
      <w:r w:rsidRPr="00806349">
        <w:rPr>
          <w:color w:val="000000"/>
          <w:lang w:val="en-IE"/>
        </w:rPr>
        <w:t>, 237–241.</w:t>
      </w:r>
    </w:p>
    <w:p w14:paraId="5D7F7904" w14:textId="77777777" w:rsidR="000E2BD2" w:rsidRPr="00806349" w:rsidRDefault="000E2BD2" w:rsidP="000E2BD2">
      <w:pPr>
        <w:pStyle w:val="rtoiles"/>
        <w:rPr>
          <w:lang w:val="en-IE"/>
        </w:rPr>
      </w:pPr>
      <w:r w:rsidRPr="00806349">
        <w:rPr>
          <w:lang w:val="en-IE"/>
        </w:rPr>
        <w:t>*</w:t>
      </w:r>
      <w:r w:rsidRPr="00806349">
        <w:rPr>
          <w:lang w:val="en-IE"/>
        </w:rPr>
        <w:br/>
        <w:t>*   *</w:t>
      </w:r>
    </w:p>
    <w:p w14:paraId="1A34C4DC" w14:textId="21100533" w:rsidR="00657A90" w:rsidRPr="004A56FE" w:rsidRDefault="00657A90" w:rsidP="00657A90">
      <w:pPr>
        <w:spacing w:before="120" w:after="240"/>
        <w:jc w:val="center"/>
        <w:rPr>
          <w:rFonts w:ascii="Söhne" w:hAnsi="Söhne" w:cs="Arial"/>
          <w:sz w:val="18"/>
          <w:szCs w:val="18"/>
          <w:lang w:val="en-IE"/>
        </w:rPr>
      </w:pPr>
      <w:r w:rsidRPr="004A56FE">
        <w:rPr>
          <w:rFonts w:ascii="Söhne" w:hAnsi="Söhne" w:cs="Arial"/>
          <w:b/>
          <w:bCs/>
          <w:sz w:val="18"/>
          <w:szCs w:val="18"/>
          <w:u w:val="double"/>
          <w:lang w:val="en-IE"/>
        </w:rPr>
        <w:t>NB:</w:t>
      </w:r>
      <w:r w:rsidRPr="004A56FE">
        <w:rPr>
          <w:rFonts w:ascii="Söhne" w:hAnsi="Söhne" w:cs="Arial"/>
          <w:sz w:val="18"/>
          <w:szCs w:val="18"/>
          <w:u w:val="double"/>
          <w:lang w:val="en-IE"/>
        </w:rPr>
        <w:t xml:space="preserve"> At the time of publication (202</w:t>
      </w:r>
      <w:r w:rsidR="006B2750">
        <w:rPr>
          <w:rFonts w:ascii="Söhne" w:hAnsi="Söhne" w:cs="Arial"/>
          <w:sz w:val="18"/>
          <w:szCs w:val="18"/>
          <w:u w:val="double"/>
          <w:lang w:val="en-IE"/>
        </w:rPr>
        <w:t>3</w:t>
      </w:r>
      <w:r w:rsidRPr="004A56FE">
        <w:rPr>
          <w:rFonts w:ascii="Söhne" w:hAnsi="Söhne" w:cs="Arial"/>
          <w:sz w:val="18"/>
          <w:szCs w:val="18"/>
          <w:u w:val="double"/>
          <w:lang w:val="en-IE"/>
        </w:rPr>
        <w:t xml:space="preserve">) there was no </w:t>
      </w:r>
      <w:r w:rsidR="006F744F" w:rsidRPr="004A56FE">
        <w:rPr>
          <w:rFonts w:ascii="Söhne" w:hAnsi="Söhne" w:cs="Arial"/>
          <w:sz w:val="18"/>
          <w:szCs w:val="18"/>
          <w:u w:val="double"/>
          <w:lang w:val="en-IE"/>
        </w:rPr>
        <w:t>WOAH</w:t>
      </w:r>
      <w:r w:rsidRPr="004A56FE">
        <w:rPr>
          <w:rFonts w:ascii="Söhne" w:hAnsi="Söhne" w:cs="Arial"/>
          <w:sz w:val="18"/>
          <w:szCs w:val="18"/>
          <w:u w:val="double"/>
          <w:lang w:val="en-IE"/>
        </w:rPr>
        <w:t xml:space="preserve"> Reference Laboratory for </w:t>
      </w:r>
      <w:r w:rsidRPr="004A56FE">
        <w:rPr>
          <w:rFonts w:ascii="Söhne" w:hAnsi="Söhne" w:cs="Arial"/>
          <w:iCs/>
          <w:sz w:val="18"/>
          <w:szCs w:val="18"/>
          <w:u w:val="double"/>
          <w:lang w:val="en-IE"/>
        </w:rPr>
        <w:t>fowl pox</w:t>
      </w:r>
      <w:r w:rsidRPr="004A56FE">
        <w:rPr>
          <w:rFonts w:ascii="Söhne" w:hAnsi="Söhne" w:cs="Arial"/>
          <w:sz w:val="18"/>
          <w:szCs w:val="18"/>
          <w:u w:val="double"/>
          <w:lang w:val="en-IE"/>
        </w:rPr>
        <w:br/>
        <w:t>(</w:t>
      </w:r>
      <w:r w:rsidR="00C10710" w:rsidRPr="004A56FE">
        <w:rPr>
          <w:rFonts w:ascii="Söhne" w:hAnsi="Söhne" w:cs="Arial"/>
          <w:sz w:val="18"/>
          <w:szCs w:val="18"/>
          <w:u w:val="double"/>
          <w:lang w:val="en-IE"/>
        </w:rPr>
        <w:t>please</w:t>
      </w:r>
      <w:r w:rsidRPr="004A56FE">
        <w:rPr>
          <w:rFonts w:ascii="Söhne" w:hAnsi="Söhne" w:cs="Arial"/>
          <w:sz w:val="18"/>
          <w:szCs w:val="18"/>
          <w:u w:val="double"/>
          <w:lang w:val="en-IE"/>
        </w:rPr>
        <w:t xml:space="preserve"> consult the </w:t>
      </w:r>
      <w:r w:rsidR="006F744F" w:rsidRPr="004A56FE">
        <w:rPr>
          <w:rFonts w:ascii="Söhne" w:hAnsi="Söhne" w:cs="Arial"/>
          <w:sz w:val="18"/>
          <w:szCs w:val="18"/>
          <w:u w:val="double"/>
          <w:lang w:val="en-IE"/>
        </w:rPr>
        <w:t>WOAH</w:t>
      </w:r>
      <w:r w:rsidRPr="004A56FE">
        <w:rPr>
          <w:rFonts w:ascii="Söhne" w:hAnsi="Söhne" w:cs="Arial"/>
          <w:sz w:val="18"/>
          <w:szCs w:val="18"/>
          <w:u w:val="double"/>
          <w:lang w:val="en-IE"/>
        </w:rPr>
        <w:t xml:space="preserve"> Web site for the most up-to-date list: </w:t>
      </w:r>
      <w:r w:rsidR="00C10710" w:rsidRPr="004A56FE">
        <w:rPr>
          <w:rFonts w:ascii="Söhne" w:hAnsi="Söhne" w:cs="Arial"/>
          <w:sz w:val="18"/>
          <w:szCs w:val="18"/>
          <w:u w:val="double"/>
          <w:lang w:val="en-IE"/>
        </w:rPr>
        <w:br/>
      </w:r>
      <w:hyperlink r:id="rId11" w:anchor="ui-id-3" w:history="1">
        <w:r w:rsidR="004A56FE" w:rsidRPr="004A56FE">
          <w:rPr>
            <w:rStyle w:val="Hyperlink"/>
            <w:rFonts w:ascii="Söhne" w:hAnsi="Söhne"/>
            <w:sz w:val="18"/>
            <w:szCs w:val="18"/>
          </w:rPr>
          <w:t>https://www.woah.org/en/what-we-offer/expertise-network/reference-laboratories/#ui-id-3</w:t>
        </w:r>
      </w:hyperlink>
      <w:r w:rsidR="004A56FE" w:rsidRPr="004A56FE">
        <w:rPr>
          <w:rFonts w:ascii="Söhne" w:hAnsi="Söhne"/>
          <w:sz w:val="18"/>
          <w:szCs w:val="18"/>
        </w:rPr>
        <w:t>)</w:t>
      </w:r>
      <w:r w:rsidRPr="004A56FE">
        <w:rPr>
          <w:rFonts w:ascii="Söhne" w:hAnsi="Söhne" w:cs="Arial"/>
          <w:sz w:val="18"/>
          <w:szCs w:val="18"/>
          <w:lang w:val="en-IE"/>
        </w:rPr>
        <w:t xml:space="preserve">. </w:t>
      </w:r>
    </w:p>
    <w:p w14:paraId="09C2103C" w14:textId="4B1612D0" w:rsidR="000E2BD2" w:rsidRPr="00C10710" w:rsidRDefault="000E2BD2" w:rsidP="007947E2">
      <w:pPr>
        <w:spacing w:after="240"/>
        <w:jc w:val="center"/>
        <w:rPr>
          <w:rFonts w:ascii="Söhne" w:hAnsi="Söhne"/>
          <w:sz w:val="18"/>
          <w:szCs w:val="18"/>
          <w:lang w:val="en-IE"/>
        </w:rPr>
      </w:pPr>
      <w:r w:rsidRPr="00806349">
        <w:rPr>
          <w:rFonts w:ascii="Söhne" w:hAnsi="Söhne" w:cs="Arial"/>
          <w:b/>
          <w:smallCaps/>
          <w:sz w:val="18"/>
          <w:szCs w:val="18"/>
          <w:lang w:val="en-IE"/>
        </w:rPr>
        <w:t>NB</w:t>
      </w:r>
      <w:r w:rsidRPr="00806349">
        <w:rPr>
          <w:rFonts w:ascii="Söhne" w:hAnsi="Söhne" w:cs="Arial"/>
          <w:smallCaps/>
          <w:sz w:val="18"/>
          <w:szCs w:val="18"/>
          <w:lang w:val="en-IE"/>
        </w:rPr>
        <w:t>: First adopted in 1991. Most recent updates adopted in 2016.</w:t>
      </w:r>
    </w:p>
    <w:p w14:paraId="4A8E5FDE" w14:textId="77777777" w:rsidR="00C10710" w:rsidRPr="00C10710" w:rsidRDefault="00C10710">
      <w:pPr>
        <w:spacing w:after="240"/>
        <w:jc w:val="center"/>
        <w:rPr>
          <w:rFonts w:ascii="Söhne" w:hAnsi="Söhne"/>
          <w:sz w:val="18"/>
          <w:szCs w:val="18"/>
          <w:lang w:val="en-IE"/>
        </w:rPr>
      </w:pPr>
    </w:p>
    <w:sectPr w:rsidR="00C10710" w:rsidRPr="00C10710" w:rsidSect="003931D1">
      <w:headerReference w:type="even" r:id="rId12"/>
      <w:headerReference w:type="default" r:id="rId13"/>
      <w:footerReference w:type="even" r:id="rId14"/>
      <w:footerReference w:type="default" r:id="rId15"/>
      <w:footerReference w:type="first" r:id="rId16"/>
      <w:type w:val="oddPage"/>
      <w:pgSz w:w="11907" w:h="16840" w:code="9"/>
      <w:pgMar w:top="1418" w:right="1418" w:bottom="1418" w:left="1418" w:header="567" w:footer="567" w:gutter="0"/>
      <w:paperSrc w:first="7" w:other="7"/>
      <w:lnNumType w:countBy="1" w:restart="continuou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FF04" w14:textId="77777777" w:rsidR="00A90984" w:rsidRDefault="00A90984">
      <w:r>
        <w:separator/>
      </w:r>
    </w:p>
  </w:endnote>
  <w:endnote w:type="continuationSeparator" w:id="0">
    <w:p w14:paraId="160C873B" w14:textId="77777777" w:rsidR="00A90984" w:rsidRDefault="00A90984">
      <w:r>
        <w:continuationSeparator/>
      </w:r>
    </w:p>
  </w:endnote>
  <w:endnote w:type="continuationNotice" w:id="1">
    <w:p w14:paraId="6E810BFC" w14:textId="77777777" w:rsidR="00A90984" w:rsidRDefault="00A90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F3B8" w14:textId="5DBC1904" w:rsidR="00BD6104" w:rsidRPr="00B0530F" w:rsidRDefault="00BD6104" w:rsidP="00C10710">
    <w:pPr>
      <w:pStyle w:val="Footer"/>
    </w:pPr>
    <w:r>
      <w:fldChar w:fldCharType="begin"/>
    </w:r>
    <w:r>
      <w:instrText>PAGE</w:instrText>
    </w:r>
    <w:r>
      <w:fldChar w:fldCharType="separate"/>
    </w:r>
    <w:r>
      <w:rPr>
        <w:noProof/>
      </w:rPr>
      <w:t>6</w:t>
    </w:r>
    <w:r>
      <w:fldChar w:fldCharType="end"/>
    </w:r>
    <w:r>
      <w:tab/>
    </w:r>
    <w:r w:rsidR="006F744F">
      <w:t>WOAH</w:t>
    </w:r>
    <w:r>
      <w:t xml:space="preserve"> </w:t>
    </w:r>
    <w:r>
      <w:rPr>
        <w:i/>
        <w:iCs/>
      </w:rPr>
      <w:t>Terrestrial</w:t>
    </w:r>
    <w:r>
      <w:t xml:space="preserve"> </w:t>
    </w:r>
    <w:r>
      <w:rPr>
        <w:i/>
        <w:iCs/>
      </w:rPr>
      <w:t>Manual</w:t>
    </w:r>
    <w:r>
      <w:t xml:space="preserve"> 202</w:t>
    </w:r>
    <w:r w:rsidR="00D424E4">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22E9" w14:textId="1098443A" w:rsidR="00BD6104" w:rsidRPr="00B0530F" w:rsidRDefault="006F744F" w:rsidP="00C10710">
    <w:pPr>
      <w:pStyle w:val="Footer"/>
    </w:pPr>
    <w:r>
      <w:t>WOAH</w:t>
    </w:r>
    <w:r w:rsidR="00BD6104">
      <w:t xml:space="preserve"> </w:t>
    </w:r>
    <w:r w:rsidR="00BD6104">
      <w:rPr>
        <w:i/>
        <w:iCs/>
      </w:rPr>
      <w:t>Terrestrial</w:t>
    </w:r>
    <w:r w:rsidR="00BD6104">
      <w:t xml:space="preserve"> </w:t>
    </w:r>
    <w:r w:rsidR="00BD6104">
      <w:rPr>
        <w:i/>
        <w:iCs/>
      </w:rPr>
      <w:t>Manual</w:t>
    </w:r>
    <w:r w:rsidR="00BD6104">
      <w:t xml:space="preserve"> 202</w:t>
    </w:r>
    <w:r w:rsidR="00D424E4">
      <w:t>3</w:t>
    </w:r>
    <w:r w:rsidR="00BD6104">
      <w:tab/>
    </w:r>
    <w:r w:rsidR="00BD6104">
      <w:fldChar w:fldCharType="begin"/>
    </w:r>
    <w:r w:rsidR="00BD6104">
      <w:instrText>PAGE</w:instrText>
    </w:r>
    <w:r w:rsidR="00BD6104">
      <w:fldChar w:fldCharType="separate"/>
    </w:r>
    <w:r w:rsidR="00BD6104">
      <w:rPr>
        <w:noProof/>
      </w:rPr>
      <w:t>7</w:t>
    </w:r>
    <w:r w:rsidR="00BD610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809A" w14:textId="4BCE4C8D" w:rsidR="00BD6104" w:rsidRDefault="006F744F" w:rsidP="00C10710">
    <w:pPr>
      <w:pStyle w:val="Footer"/>
    </w:pPr>
    <w:r>
      <w:t>WOAH</w:t>
    </w:r>
    <w:r w:rsidR="00BD6104">
      <w:t xml:space="preserve"> </w:t>
    </w:r>
    <w:r w:rsidR="00BD6104">
      <w:rPr>
        <w:i/>
        <w:iCs/>
      </w:rPr>
      <w:t>Terrestrial</w:t>
    </w:r>
    <w:r w:rsidR="00BD6104">
      <w:t xml:space="preserve"> </w:t>
    </w:r>
    <w:r w:rsidR="00BD6104">
      <w:rPr>
        <w:i/>
        <w:iCs/>
      </w:rPr>
      <w:t>Manual</w:t>
    </w:r>
    <w:r w:rsidR="00BD6104">
      <w:t xml:space="preserve"> 202</w:t>
    </w:r>
    <w:r w:rsidR="00D424E4">
      <w:t>3</w:t>
    </w:r>
    <w:r w:rsidR="00BD6104">
      <w:tab/>
    </w:r>
    <w:r w:rsidR="00BD6104">
      <w:fldChar w:fldCharType="begin"/>
    </w:r>
    <w:r w:rsidR="00BD6104">
      <w:instrText>PAGE</w:instrText>
    </w:r>
    <w:r w:rsidR="00BD6104">
      <w:fldChar w:fldCharType="separate"/>
    </w:r>
    <w:r w:rsidR="00BD6104">
      <w:rPr>
        <w:noProof/>
      </w:rPr>
      <w:t>1</w:t>
    </w:r>
    <w:r w:rsidR="00BD610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6506" w14:textId="77777777" w:rsidR="00A90984" w:rsidRDefault="00A90984">
      <w:r>
        <w:separator/>
      </w:r>
    </w:p>
  </w:footnote>
  <w:footnote w:type="continuationSeparator" w:id="0">
    <w:p w14:paraId="37A35900" w14:textId="77777777" w:rsidR="00A90984" w:rsidRDefault="00A90984">
      <w:r>
        <w:continuationSeparator/>
      </w:r>
    </w:p>
  </w:footnote>
  <w:footnote w:type="continuationNotice" w:id="1">
    <w:p w14:paraId="0614FF01" w14:textId="77777777" w:rsidR="00A90984" w:rsidRDefault="00A90984"/>
  </w:footnote>
  <w:footnote w:id="2">
    <w:p w14:paraId="4073809B" w14:textId="77777777" w:rsidR="00BD6104" w:rsidRPr="006A260D" w:rsidRDefault="00BD6104" w:rsidP="00141805">
      <w:pPr>
        <w:pStyle w:val="FootnoteText"/>
        <w:tabs>
          <w:tab w:val="left" w:pos="-1843"/>
        </w:tabs>
        <w:spacing w:line="240" w:lineRule="auto"/>
        <w:ind w:left="425" w:hanging="425"/>
        <w:rPr>
          <w:rFonts w:cs="Times"/>
          <w:strike/>
        </w:rPr>
      </w:pPr>
      <w:r w:rsidRPr="006A260D">
        <w:rPr>
          <w:rStyle w:val="FootnoteReference"/>
          <w:rFonts w:ascii="Arial" w:hAnsi="Arial" w:cs="Arial"/>
          <w:strike/>
          <w:sz w:val="16"/>
          <w:szCs w:val="16"/>
          <w:vertAlign w:val="baseline"/>
        </w:rPr>
        <w:footnoteRef/>
      </w:r>
      <w:r w:rsidRPr="006A260D">
        <w:rPr>
          <w:rFonts w:ascii="Arial" w:hAnsi="Arial" w:cs="Arial"/>
          <w:strike/>
          <w:sz w:val="16"/>
          <w:szCs w:val="16"/>
        </w:rPr>
        <w:t xml:space="preserve"> </w:t>
      </w:r>
      <w:r w:rsidRPr="006A260D">
        <w:rPr>
          <w:rFonts w:ascii="Arial" w:hAnsi="Arial" w:cs="Arial"/>
          <w:strike/>
          <w:sz w:val="16"/>
          <w:szCs w:val="16"/>
        </w:rPr>
        <w:tab/>
        <w:t>A combination of agent identification methods applied on the same clinical sample is recommended.</w:t>
      </w:r>
    </w:p>
  </w:footnote>
  <w:footnote w:id="3">
    <w:p w14:paraId="4073809D" w14:textId="77777777" w:rsidR="00BD6104" w:rsidRPr="004362D9" w:rsidRDefault="00BD6104">
      <w:pPr>
        <w:ind w:left="425" w:hanging="425"/>
        <w:jc w:val="both"/>
        <w:rPr>
          <w:rFonts w:ascii="Söhne" w:hAnsi="Söhne"/>
          <w:strike/>
          <w:sz w:val="16"/>
          <w:szCs w:val="16"/>
        </w:rPr>
      </w:pPr>
      <w:r w:rsidRPr="004362D9">
        <w:rPr>
          <w:rStyle w:val="FootnoteReference"/>
          <w:rFonts w:ascii="Söhne" w:hAnsi="Söhne" w:cs="Arial"/>
          <w:strike/>
          <w:sz w:val="16"/>
          <w:szCs w:val="16"/>
          <w:vertAlign w:val="baseline"/>
        </w:rPr>
        <w:footnoteRef/>
      </w:r>
      <w:r w:rsidRPr="004362D9">
        <w:rPr>
          <w:rFonts w:ascii="Söhne" w:hAnsi="Söhne" w:cs="Arial"/>
          <w:strike/>
          <w:sz w:val="16"/>
          <w:szCs w:val="16"/>
        </w:rPr>
        <w:t xml:space="preserve"> </w:t>
      </w:r>
      <w:r w:rsidRPr="004362D9">
        <w:rPr>
          <w:rFonts w:ascii="Söhne" w:hAnsi="Söhne" w:cs="Arial"/>
          <w:strike/>
          <w:sz w:val="16"/>
          <w:szCs w:val="16"/>
        </w:rPr>
        <w:tab/>
        <w:t>Stock solution: A solution of basic fuchsin (5 g) in 95% ethanol (100 ml) is slowly added to a second solution of crystalline phenol (10 g) in distilled water (900 ml). This stock solution, kept in a tightly screw-capped glass bottle, is incubated for 48 hours at 37°C, and then stored at room temperature.</w:t>
      </w:r>
    </w:p>
  </w:footnote>
  <w:footnote w:id="4">
    <w:p w14:paraId="4073809E" w14:textId="77777777" w:rsidR="00BD6104" w:rsidRPr="004362D9" w:rsidRDefault="00BD6104">
      <w:pPr>
        <w:spacing w:line="180" w:lineRule="exact"/>
        <w:ind w:left="425" w:hanging="425"/>
        <w:jc w:val="both"/>
        <w:rPr>
          <w:rFonts w:ascii="Söhne" w:hAnsi="Söhne"/>
          <w:strike/>
          <w:sz w:val="16"/>
          <w:szCs w:val="16"/>
        </w:rPr>
      </w:pPr>
      <w:r w:rsidRPr="004362D9">
        <w:rPr>
          <w:rStyle w:val="FootnoteReference"/>
          <w:rFonts w:ascii="Söhne" w:hAnsi="Söhne" w:cs="Arial"/>
          <w:strike/>
          <w:sz w:val="16"/>
          <w:szCs w:val="16"/>
          <w:vertAlign w:val="baseline"/>
        </w:rPr>
        <w:footnoteRef/>
      </w:r>
      <w:r w:rsidRPr="004362D9">
        <w:rPr>
          <w:rFonts w:ascii="Söhne" w:hAnsi="Söhne" w:cs="Arial"/>
          <w:strike/>
          <w:sz w:val="16"/>
          <w:szCs w:val="16"/>
        </w:rPr>
        <w:t xml:space="preserve"> </w:t>
      </w:r>
      <w:r w:rsidRPr="004362D9">
        <w:rPr>
          <w:rFonts w:ascii="Söhne" w:hAnsi="Söhne" w:cs="Arial"/>
          <w:strike/>
          <w:sz w:val="16"/>
          <w:szCs w:val="16"/>
        </w:rPr>
        <w:tab/>
        <w:t>Phosphate buffer, pH 7.5: NaH</w:t>
      </w:r>
      <w:r w:rsidRPr="004362D9">
        <w:rPr>
          <w:rFonts w:ascii="Söhne" w:hAnsi="Söhne" w:cs="Arial"/>
          <w:strike/>
          <w:sz w:val="16"/>
          <w:szCs w:val="16"/>
          <w:vertAlign w:val="subscript"/>
        </w:rPr>
        <w:t>2</w:t>
      </w:r>
      <w:r w:rsidRPr="004362D9">
        <w:rPr>
          <w:rFonts w:ascii="Söhne" w:hAnsi="Söhne" w:cs="Arial"/>
          <w:strike/>
          <w:sz w:val="16"/>
          <w:szCs w:val="16"/>
        </w:rPr>
        <w:t>PO</w:t>
      </w:r>
      <w:r w:rsidRPr="004362D9">
        <w:rPr>
          <w:rFonts w:ascii="Söhne" w:hAnsi="Söhne" w:cs="Arial"/>
          <w:strike/>
          <w:sz w:val="16"/>
          <w:szCs w:val="16"/>
          <w:vertAlign w:val="subscript"/>
        </w:rPr>
        <w:t>4</w:t>
      </w:r>
      <w:r w:rsidRPr="004362D9">
        <w:rPr>
          <w:rFonts w:ascii="Söhne" w:hAnsi="Söhne" w:cs="Arial"/>
          <w:strike/>
          <w:sz w:val="16"/>
          <w:szCs w:val="16"/>
        </w:rPr>
        <w:t>H</w:t>
      </w:r>
      <w:r w:rsidRPr="004362D9">
        <w:rPr>
          <w:rFonts w:ascii="Söhne" w:hAnsi="Söhne" w:cs="Arial"/>
          <w:strike/>
          <w:sz w:val="16"/>
          <w:szCs w:val="16"/>
          <w:vertAlign w:val="subscript"/>
        </w:rPr>
        <w:t>2</w:t>
      </w:r>
      <w:r w:rsidRPr="004362D9">
        <w:rPr>
          <w:rFonts w:ascii="Söhne" w:hAnsi="Söhne" w:cs="Arial"/>
          <w:strike/>
          <w:sz w:val="16"/>
          <w:szCs w:val="16"/>
        </w:rPr>
        <w:t>O (2.47 g) and Na</w:t>
      </w:r>
      <w:r w:rsidRPr="004362D9">
        <w:rPr>
          <w:rFonts w:ascii="Söhne" w:hAnsi="Söhne" w:cs="Arial"/>
          <w:strike/>
          <w:sz w:val="16"/>
          <w:szCs w:val="16"/>
          <w:vertAlign w:val="subscript"/>
        </w:rPr>
        <w:t>2</w:t>
      </w:r>
      <w:r w:rsidRPr="004362D9">
        <w:rPr>
          <w:rFonts w:ascii="Söhne" w:hAnsi="Söhne" w:cs="Arial"/>
          <w:strike/>
          <w:sz w:val="16"/>
          <w:szCs w:val="16"/>
        </w:rPr>
        <w:t>HPO</w:t>
      </w:r>
      <w:r w:rsidRPr="004362D9">
        <w:rPr>
          <w:rFonts w:ascii="Söhne" w:hAnsi="Söhne" w:cs="Arial"/>
          <w:strike/>
          <w:sz w:val="16"/>
          <w:szCs w:val="16"/>
          <w:vertAlign w:val="subscript"/>
        </w:rPr>
        <w:t>4</w:t>
      </w:r>
      <w:r w:rsidRPr="004362D9">
        <w:rPr>
          <w:rFonts w:ascii="Söhne" w:hAnsi="Söhne" w:cs="Arial"/>
          <w:strike/>
          <w:sz w:val="16"/>
          <w:szCs w:val="16"/>
        </w:rPr>
        <w:t xml:space="preserve"> (11.65 g) are added to distilled water (1000 ml) and stored at 4°C.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3CD5" w14:textId="5105C782" w:rsidR="00BD6104" w:rsidRPr="00B0530F" w:rsidRDefault="00BD6104" w:rsidP="00C10710">
    <w:pPr>
      <w:pStyle w:val="Header"/>
    </w:pPr>
    <w:r>
      <w:t xml:space="preserve">Chapter 3.3.10. – </w:t>
    </w:r>
    <w:proofErr w:type="spellStart"/>
    <w:r>
      <w:t>Fowlpox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A1B9" w14:textId="687D0BAC" w:rsidR="00BD6104" w:rsidRPr="00B0530F" w:rsidRDefault="00BD6104" w:rsidP="00C10710">
    <w:pPr>
      <w:pStyle w:val="Header"/>
    </w:pPr>
    <w:r>
      <w:t xml:space="preserve">Chapter 3.3.10. – </w:t>
    </w:r>
    <w:proofErr w:type="spellStart"/>
    <w:r>
      <w:t>Fowlpox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2"/>
      <w:numFmt w:val="decimal"/>
      <w:lvlText w:val="%1."/>
      <w:lvlJc w:val="left"/>
      <w:pPr>
        <w:tabs>
          <w:tab w:val="num" w:pos="420"/>
        </w:tabs>
        <w:ind w:left="420" w:hanging="420"/>
      </w:pPr>
      <w:rPr>
        <w:rFonts w:hint="default"/>
      </w:rPr>
    </w:lvl>
  </w:abstractNum>
  <w:abstractNum w:abstractNumId="1" w15:restartNumberingAfterBreak="0">
    <w:nsid w:val="0A5225BB"/>
    <w:multiLevelType w:val="hybridMultilevel"/>
    <w:tmpl w:val="8D8CBD2C"/>
    <w:lvl w:ilvl="0" w:tplc="43E62AF6">
      <w:start w:val="12"/>
      <w:numFmt w:val="decimal"/>
      <w:lvlText w:val="%1."/>
      <w:lvlJc w:val="left"/>
      <w:pPr>
        <w:tabs>
          <w:tab w:val="num" w:pos="1080"/>
        </w:tabs>
        <w:ind w:left="1080" w:hanging="720"/>
      </w:pPr>
      <w:rPr>
        <w:rFonts w:hint="default"/>
      </w:rPr>
    </w:lvl>
    <w:lvl w:ilvl="1" w:tplc="ABE63542" w:tentative="1">
      <w:start w:val="1"/>
      <w:numFmt w:val="lowerLetter"/>
      <w:lvlText w:val="%2."/>
      <w:lvlJc w:val="left"/>
      <w:pPr>
        <w:tabs>
          <w:tab w:val="num" w:pos="1440"/>
        </w:tabs>
        <w:ind w:left="1440" w:hanging="360"/>
      </w:pPr>
    </w:lvl>
    <w:lvl w:ilvl="2" w:tplc="7D7CA642" w:tentative="1">
      <w:start w:val="1"/>
      <w:numFmt w:val="lowerRoman"/>
      <w:lvlText w:val="%3."/>
      <w:lvlJc w:val="right"/>
      <w:pPr>
        <w:tabs>
          <w:tab w:val="num" w:pos="2160"/>
        </w:tabs>
        <w:ind w:left="2160" w:hanging="180"/>
      </w:pPr>
    </w:lvl>
    <w:lvl w:ilvl="3" w:tplc="D2849AF8" w:tentative="1">
      <w:start w:val="1"/>
      <w:numFmt w:val="decimal"/>
      <w:lvlText w:val="%4."/>
      <w:lvlJc w:val="left"/>
      <w:pPr>
        <w:tabs>
          <w:tab w:val="num" w:pos="2880"/>
        </w:tabs>
        <w:ind w:left="2880" w:hanging="360"/>
      </w:pPr>
    </w:lvl>
    <w:lvl w:ilvl="4" w:tplc="AB5EC10E" w:tentative="1">
      <w:start w:val="1"/>
      <w:numFmt w:val="lowerLetter"/>
      <w:lvlText w:val="%5."/>
      <w:lvlJc w:val="left"/>
      <w:pPr>
        <w:tabs>
          <w:tab w:val="num" w:pos="3600"/>
        </w:tabs>
        <w:ind w:left="3600" w:hanging="360"/>
      </w:pPr>
    </w:lvl>
    <w:lvl w:ilvl="5" w:tplc="CFB01722" w:tentative="1">
      <w:start w:val="1"/>
      <w:numFmt w:val="lowerRoman"/>
      <w:lvlText w:val="%6."/>
      <w:lvlJc w:val="right"/>
      <w:pPr>
        <w:tabs>
          <w:tab w:val="num" w:pos="4320"/>
        </w:tabs>
        <w:ind w:left="4320" w:hanging="180"/>
      </w:pPr>
    </w:lvl>
    <w:lvl w:ilvl="6" w:tplc="CC547118" w:tentative="1">
      <w:start w:val="1"/>
      <w:numFmt w:val="decimal"/>
      <w:lvlText w:val="%7."/>
      <w:lvlJc w:val="left"/>
      <w:pPr>
        <w:tabs>
          <w:tab w:val="num" w:pos="5040"/>
        </w:tabs>
        <w:ind w:left="5040" w:hanging="360"/>
      </w:pPr>
    </w:lvl>
    <w:lvl w:ilvl="7" w:tplc="4170CEC8" w:tentative="1">
      <w:start w:val="1"/>
      <w:numFmt w:val="lowerLetter"/>
      <w:lvlText w:val="%8."/>
      <w:lvlJc w:val="left"/>
      <w:pPr>
        <w:tabs>
          <w:tab w:val="num" w:pos="5760"/>
        </w:tabs>
        <w:ind w:left="5760" w:hanging="360"/>
      </w:pPr>
    </w:lvl>
    <w:lvl w:ilvl="8" w:tplc="43A22A68" w:tentative="1">
      <w:start w:val="1"/>
      <w:numFmt w:val="lowerRoman"/>
      <w:lvlText w:val="%9."/>
      <w:lvlJc w:val="right"/>
      <w:pPr>
        <w:tabs>
          <w:tab w:val="num" w:pos="6480"/>
        </w:tabs>
        <w:ind w:left="6480" w:hanging="180"/>
      </w:pPr>
    </w:lvl>
  </w:abstractNum>
  <w:abstractNum w:abstractNumId="2" w15:restartNumberingAfterBreak="0">
    <w:nsid w:val="45BD21D4"/>
    <w:multiLevelType w:val="multilevel"/>
    <w:tmpl w:val="1584E0F6"/>
    <w:lvl w:ilvl="0">
      <w:start w:val="12"/>
      <w:numFmt w:val="decimal"/>
      <w:lvlText w:val="%1."/>
      <w:lvlJc w:val="left"/>
      <w:pPr>
        <w:tabs>
          <w:tab w:val="num" w:pos="576"/>
        </w:tabs>
        <w:ind w:left="576" w:hanging="576"/>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47E07D8"/>
    <w:multiLevelType w:val="hybridMultilevel"/>
    <w:tmpl w:val="ECDC60FC"/>
    <w:lvl w:ilvl="0" w:tplc="8146DE3C">
      <w:start w:val="21"/>
      <w:numFmt w:val="decimal"/>
      <w:lvlText w:val="%1."/>
      <w:lvlJc w:val="left"/>
      <w:pPr>
        <w:tabs>
          <w:tab w:val="num" w:pos="780"/>
        </w:tabs>
        <w:ind w:left="780" w:hanging="420"/>
      </w:pPr>
      <w:rPr>
        <w:rFonts w:hint="default"/>
      </w:rPr>
    </w:lvl>
    <w:lvl w:ilvl="1" w:tplc="3B2A4A86" w:tentative="1">
      <w:start w:val="1"/>
      <w:numFmt w:val="lowerLetter"/>
      <w:lvlText w:val="%2."/>
      <w:lvlJc w:val="left"/>
      <w:pPr>
        <w:tabs>
          <w:tab w:val="num" w:pos="1440"/>
        </w:tabs>
        <w:ind w:left="1440" w:hanging="360"/>
      </w:pPr>
    </w:lvl>
    <w:lvl w:ilvl="2" w:tplc="7EB20D20" w:tentative="1">
      <w:start w:val="1"/>
      <w:numFmt w:val="lowerRoman"/>
      <w:lvlText w:val="%3."/>
      <w:lvlJc w:val="right"/>
      <w:pPr>
        <w:tabs>
          <w:tab w:val="num" w:pos="2160"/>
        </w:tabs>
        <w:ind w:left="2160" w:hanging="180"/>
      </w:pPr>
    </w:lvl>
    <w:lvl w:ilvl="3" w:tplc="C7B6221E" w:tentative="1">
      <w:start w:val="1"/>
      <w:numFmt w:val="decimal"/>
      <w:lvlText w:val="%4."/>
      <w:lvlJc w:val="left"/>
      <w:pPr>
        <w:tabs>
          <w:tab w:val="num" w:pos="2880"/>
        </w:tabs>
        <w:ind w:left="2880" w:hanging="360"/>
      </w:pPr>
    </w:lvl>
    <w:lvl w:ilvl="4" w:tplc="3C2CB816" w:tentative="1">
      <w:start w:val="1"/>
      <w:numFmt w:val="lowerLetter"/>
      <w:lvlText w:val="%5."/>
      <w:lvlJc w:val="left"/>
      <w:pPr>
        <w:tabs>
          <w:tab w:val="num" w:pos="3600"/>
        </w:tabs>
        <w:ind w:left="3600" w:hanging="360"/>
      </w:pPr>
    </w:lvl>
    <w:lvl w:ilvl="5" w:tplc="D57220D0" w:tentative="1">
      <w:start w:val="1"/>
      <w:numFmt w:val="lowerRoman"/>
      <w:lvlText w:val="%6."/>
      <w:lvlJc w:val="right"/>
      <w:pPr>
        <w:tabs>
          <w:tab w:val="num" w:pos="4320"/>
        </w:tabs>
        <w:ind w:left="4320" w:hanging="180"/>
      </w:pPr>
    </w:lvl>
    <w:lvl w:ilvl="6" w:tplc="1EF062EC" w:tentative="1">
      <w:start w:val="1"/>
      <w:numFmt w:val="decimal"/>
      <w:lvlText w:val="%7."/>
      <w:lvlJc w:val="left"/>
      <w:pPr>
        <w:tabs>
          <w:tab w:val="num" w:pos="5040"/>
        </w:tabs>
        <w:ind w:left="5040" w:hanging="360"/>
      </w:pPr>
    </w:lvl>
    <w:lvl w:ilvl="7" w:tplc="4BE87BD2" w:tentative="1">
      <w:start w:val="1"/>
      <w:numFmt w:val="lowerLetter"/>
      <w:lvlText w:val="%8."/>
      <w:lvlJc w:val="left"/>
      <w:pPr>
        <w:tabs>
          <w:tab w:val="num" w:pos="5760"/>
        </w:tabs>
        <w:ind w:left="5760" w:hanging="360"/>
      </w:pPr>
    </w:lvl>
    <w:lvl w:ilvl="8" w:tplc="C7D00168" w:tentative="1">
      <w:start w:val="1"/>
      <w:numFmt w:val="lowerRoman"/>
      <w:lvlText w:val="%9."/>
      <w:lvlJc w:val="right"/>
      <w:pPr>
        <w:tabs>
          <w:tab w:val="num" w:pos="6480"/>
        </w:tabs>
        <w:ind w:left="6480" w:hanging="180"/>
      </w:pPr>
    </w:lvl>
  </w:abstractNum>
  <w:abstractNum w:abstractNumId="4" w15:restartNumberingAfterBreak="0">
    <w:nsid w:val="6C3737B3"/>
    <w:multiLevelType w:val="hybridMultilevel"/>
    <w:tmpl w:val="866EB9B2"/>
    <w:lvl w:ilvl="0" w:tplc="A1A0E35A">
      <w:start w:val="14"/>
      <w:numFmt w:val="decimal"/>
      <w:lvlText w:val="%1."/>
      <w:lvlJc w:val="left"/>
      <w:pPr>
        <w:tabs>
          <w:tab w:val="num" w:pos="780"/>
        </w:tabs>
        <w:ind w:left="780" w:hanging="420"/>
      </w:pPr>
      <w:rPr>
        <w:rFonts w:hint="default"/>
      </w:rPr>
    </w:lvl>
    <w:lvl w:ilvl="1" w:tplc="78FE3A4E" w:tentative="1">
      <w:start w:val="1"/>
      <w:numFmt w:val="lowerLetter"/>
      <w:lvlText w:val="%2."/>
      <w:lvlJc w:val="left"/>
      <w:pPr>
        <w:tabs>
          <w:tab w:val="num" w:pos="1440"/>
        </w:tabs>
        <w:ind w:left="1440" w:hanging="360"/>
      </w:pPr>
    </w:lvl>
    <w:lvl w:ilvl="2" w:tplc="458EE264" w:tentative="1">
      <w:start w:val="1"/>
      <w:numFmt w:val="lowerRoman"/>
      <w:lvlText w:val="%3."/>
      <w:lvlJc w:val="right"/>
      <w:pPr>
        <w:tabs>
          <w:tab w:val="num" w:pos="2160"/>
        </w:tabs>
        <w:ind w:left="2160" w:hanging="180"/>
      </w:pPr>
    </w:lvl>
    <w:lvl w:ilvl="3" w:tplc="9D5EB378" w:tentative="1">
      <w:start w:val="1"/>
      <w:numFmt w:val="decimal"/>
      <w:lvlText w:val="%4."/>
      <w:lvlJc w:val="left"/>
      <w:pPr>
        <w:tabs>
          <w:tab w:val="num" w:pos="2880"/>
        </w:tabs>
        <w:ind w:left="2880" w:hanging="360"/>
      </w:pPr>
    </w:lvl>
    <w:lvl w:ilvl="4" w:tplc="B0203882" w:tentative="1">
      <w:start w:val="1"/>
      <w:numFmt w:val="lowerLetter"/>
      <w:lvlText w:val="%5."/>
      <w:lvlJc w:val="left"/>
      <w:pPr>
        <w:tabs>
          <w:tab w:val="num" w:pos="3600"/>
        </w:tabs>
        <w:ind w:left="3600" w:hanging="360"/>
      </w:pPr>
    </w:lvl>
    <w:lvl w:ilvl="5" w:tplc="4AEE0544" w:tentative="1">
      <w:start w:val="1"/>
      <w:numFmt w:val="lowerRoman"/>
      <w:lvlText w:val="%6."/>
      <w:lvlJc w:val="right"/>
      <w:pPr>
        <w:tabs>
          <w:tab w:val="num" w:pos="4320"/>
        </w:tabs>
        <w:ind w:left="4320" w:hanging="180"/>
      </w:pPr>
    </w:lvl>
    <w:lvl w:ilvl="6" w:tplc="75884C62" w:tentative="1">
      <w:start w:val="1"/>
      <w:numFmt w:val="decimal"/>
      <w:lvlText w:val="%7."/>
      <w:lvlJc w:val="left"/>
      <w:pPr>
        <w:tabs>
          <w:tab w:val="num" w:pos="5040"/>
        </w:tabs>
        <w:ind w:left="5040" w:hanging="360"/>
      </w:pPr>
    </w:lvl>
    <w:lvl w:ilvl="7" w:tplc="CD06ED74" w:tentative="1">
      <w:start w:val="1"/>
      <w:numFmt w:val="lowerLetter"/>
      <w:lvlText w:val="%8."/>
      <w:lvlJc w:val="left"/>
      <w:pPr>
        <w:tabs>
          <w:tab w:val="num" w:pos="5760"/>
        </w:tabs>
        <w:ind w:left="5760" w:hanging="360"/>
      </w:pPr>
    </w:lvl>
    <w:lvl w:ilvl="8" w:tplc="15A0EFA4" w:tentative="1">
      <w:start w:val="1"/>
      <w:numFmt w:val="lowerRoman"/>
      <w:lvlText w:val="%9."/>
      <w:lvlJc w:val="right"/>
      <w:pPr>
        <w:tabs>
          <w:tab w:val="num" w:pos="6480"/>
        </w:tabs>
        <w:ind w:left="6480" w:hanging="180"/>
      </w:pPr>
    </w:lvl>
  </w:abstractNum>
  <w:abstractNum w:abstractNumId="5" w15:restartNumberingAfterBreak="0">
    <w:nsid w:val="78DF5A0A"/>
    <w:multiLevelType w:val="hybridMultilevel"/>
    <w:tmpl w:val="5C7C9BCC"/>
    <w:lvl w:ilvl="0" w:tplc="B742DC82">
      <w:start w:val="5"/>
      <w:numFmt w:val="decimal"/>
      <w:lvlText w:val="%1."/>
      <w:lvlJc w:val="left"/>
      <w:pPr>
        <w:tabs>
          <w:tab w:val="num" w:pos="780"/>
        </w:tabs>
        <w:ind w:left="780" w:hanging="420"/>
      </w:pPr>
      <w:rPr>
        <w:rFonts w:hint="default"/>
      </w:rPr>
    </w:lvl>
    <w:lvl w:ilvl="1" w:tplc="F3E2BC48" w:tentative="1">
      <w:start w:val="1"/>
      <w:numFmt w:val="lowerLetter"/>
      <w:lvlText w:val="%2."/>
      <w:lvlJc w:val="left"/>
      <w:pPr>
        <w:tabs>
          <w:tab w:val="num" w:pos="1440"/>
        </w:tabs>
        <w:ind w:left="1440" w:hanging="360"/>
      </w:pPr>
    </w:lvl>
    <w:lvl w:ilvl="2" w:tplc="C914B424" w:tentative="1">
      <w:start w:val="1"/>
      <w:numFmt w:val="lowerRoman"/>
      <w:lvlText w:val="%3."/>
      <w:lvlJc w:val="right"/>
      <w:pPr>
        <w:tabs>
          <w:tab w:val="num" w:pos="2160"/>
        </w:tabs>
        <w:ind w:left="2160" w:hanging="180"/>
      </w:pPr>
    </w:lvl>
    <w:lvl w:ilvl="3" w:tplc="571E8372" w:tentative="1">
      <w:start w:val="1"/>
      <w:numFmt w:val="decimal"/>
      <w:lvlText w:val="%4."/>
      <w:lvlJc w:val="left"/>
      <w:pPr>
        <w:tabs>
          <w:tab w:val="num" w:pos="2880"/>
        </w:tabs>
        <w:ind w:left="2880" w:hanging="360"/>
      </w:pPr>
    </w:lvl>
    <w:lvl w:ilvl="4" w:tplc="27BCA0B2" w:tentative="1">
      <w:start w:val="1"/>
      <w:numFmt w:val="lowerLetter"/>
      <w:lvlText w:val="%5."/>
      <w:lvlJc w:val="left"/>
      <w:pPr>
        <w:tabs>
          <w:tab w:val="num" w:pos="3600"/>
        </w:tabs>
        <w:ind w:left="3600" w:hanging="360"/>
      </w:pPr>
    </w:lvl>
    <w:lvl w:ilvl="5" w:tplc="44C22660" w:tentative="1">
      <w:start w:val="1"/>
      <w:numFmt w:val="lowerRoman"/>
      <w:lvlText w:val="%6."/>
      <w:lvlJc w:val="right"/>
      <w:pPr>
        <w:tabs>
          <w:tab w:val="num" w:pos="4320"/>
        </w:tabs>
        <w:ind w:left="4320" w:hanging="180"/>
      </w:pPr>
    </w:lvl>
    <w:lvl w:ilvl="6" w:tplc="AF18C4D2" w:tentative="1">
      <w:start w:val="1"/>
      <w:numFmt w:val="decimal"/>
      <w:lvlText w:val="%7."/>
      <w:lvlJc w:val="left"/>
      <w:pPr>
        <w:tabs>
          <w:tab w:val="num" w:pos="5040"/>
        </w:tabs>
        <w:ind w:left="5040" w:hanging="360"/>
      </w:pPr>
    </w:lvl>
    <w:lvl w:ilvl="7" w:tplc="4036CC36" w:tentative="1">
      <w:start w:val="1"/>
      <w:numFmt w:val="lowerLetter"/>
      <w:lvlText w:val="%8."/>
      <w:lvlJc w:val="left"/>
      <w:pPr>
        <w:tabs>
          <w:tab w:val="num" w:pos="5760"/>
        </w:tabs>
        <w:ind w:left="5760" w:hanging="360"/>
      </w:pPr>
    </w:lvl>
    <w:lvl w:ilvl="8" w:tplc="B4D623A2" w:tentative="1">
      <w:start w:val="1"/>
      <w:numFmt w:val="lowerRoman"/>
      <w:lvlText w:val="%9."/>
      <w:lvlJc w:val="right"/>
      <w:pPr>
        <w:tabs>
          <w:tab w:val="num" w:pos="6480"/>
        </w:tabs>
        <w:ind w:left="6480" w:hanging="180"/>
      </w:pPr>
    </w:lvl>
  </w:abstractNum>
  <w:abstractNum w:abstractNumId="6"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cs="Arial" w:hint="default"/>
        <w:b w:val="0"/>
        <w:bCs w:val="0"/>
        <w:i w:val="0"/>
        <w:iCs w:val="0"/>
        <w:sz w:val="18"/>
        <w:szCs w:val="18"/>
        <w:u w:val="none"/>
      </w:rPr>
    </w:lvl>
  </w:abstractNum>
  <w:abstractNum w:abstractNumId="7"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cs="Arial" w:hint="default"/>
        <w:b w:val="0"/>
        <w:bCs w:val="0"/>
        <w:i w:val="0"/>
        <w:iCs w:val="0"/>
        <w:sz w:val="18"/>
        <w:szCs w:val="18"/>
        <w:u w:val="none"/>
      </w:rPr>
    </w:lvl>
  </w:abstractNum>
  <w:abstractNum w:abstractNumId="8" w15:restartNumberingAfterBreak="0">
    <w:nsid w:val="7E276E51"/>
    <w:multiLevelType w:val="hybridMultilevel"/>
    <w:tmpl w:val="2354BD90"/>
    <w:lvl w:ilvl="0" w:tplc="B0C29C84">
      <w:start w:val="7"/>
      <w:numFmt w:val="decimal"/>
      <w:lvlText w:val="%1."/>
      <w:lvlJc w:val="left"/>
      <w:pPr>
        <w:tabs>
          <w:tab w:val="num" w:pos="780"/>
        </w:tabs>
        <w:ind w:left="780" w:hanging="420"/>
      </w:pPr>
      <w:rPr>
        <w:rFonts w:hint="default"/>
        <w:color w:val="auto"/>
      </w:rPr>
    </w:lvl>
    <w:lvl w:ilvl="1" w:tplc="DF22B9EA" w:tentative="1">
      <w:start w:val="1"/>
      <w:numFmt w:val="lowerLetter"/>
      <w:lvlText w:val="%2."/>
      <w:lvlJc w:val="left"/>
      <w:pPr>
        <w:tabs>
          <w:tab w:val="num" w:pos="1440"/>
        </w:tabs>
        <w:ind w:left="1440" w:hanging="360"/>
      </w:pPr>
    </w:lvl>
    <w:lvl w:ilvl="2" w:tplc="BD5E6748" w:tentative="1">
      <w:start w:val="1"/>
      <w:numFmt w:val="lowerRoman"/>
      <w:lvlText w:val="%3."/>
      <w:lvlJc w:val="right"/>
      <w:pPr>
        <w:tabs>
          <w:tab w:val="num" w:pos="2160"/>
        </w:tabs>
        <w:ind w:left="2160" w:hanging="180"/>
      </w:pPr>
    </w:lvl>
    <w:lvl w:ilvl="3" w:tplc="961E9E18" w:tentative="1">
      <w:start w:val="1"/>
      <w:numFmt w:val="decimal"/>
      <w:lvlText w:val="%4."/>
      <w:lvlJc w:val="left"/>
      <w:pPr>
        <w:tabs>
          <w:tab w:val="num" w:pos="2880"/>
        </w:tabs>
        <w:ind w:left="2880" w:hanging="360"/>
      </w:pPr>
    </w:lvl>
    <w:lvl w:ilvl="4" w:tplc="795A07E0" w:tentative="1">
      <w:start w:val="1"/>
      <w:numFmt w:val="lowerLetter"/>
      <w:lvlText w:val="%5."/>
      <w:lvlJc w:val="left"/>
      <w:pPr>
        <w:tabs>
          <w:tab w:val="num" w:pos="3600"/>
        </w:tabs>
        <w:ind w:left="3600" w:hanging="360"/>
      </w:pPr>
    </w:lvl>
    <w:lvl w:ilvl="5" w:tplc="673CD6EE" w:tentative="1">
      <w:start w:val="1"/>
      <w:numFmt w:val="lowerRoman"/>
      <w:lvlText w:val="%6."/>
      <w:lvlJc w:val="right"/>
      <w:pPr>
        <w:tabs>
          <w:tab w:val="num" w:pos="4320"/>
        </w:tabs>
        <w:ind w:left="4320" w:hanging="180"/>
      </w:pPr>
    </w:lvl>
    <w:lvl w:ilvl="6" w:tplc="08A4FF66" w:tentative="1">
      <w:start w:val="1"/>
      <w:numFmt w:val="decimal"/>
      <w:lvlText w:val="%7."/>
      <w:lvlJc w:val="left"/>
      <w:pPr>
        <w:tabs>
          <w:tab w:val="num" w:pos="5040"/>
        </w:tabs>
        <w:ind w:left="5040" w:hanging="360"/>
      </w:pPr>
    </w:lvl>
    <w:lvl w:ilvl="7" w:tplc="72BC0D84" w:tentative="1">
      <w:start w:val="1"/>
      <w:numFmt w:val="lowerLetter"/>
      <w:lvlText w:val="%8."/>
      <w:lvlJc w:val="left"/>
      <w:pPr>
        <w:tabs>
          <w:tab w:val="num" w:pos="5760"/>
        </w:tabs>
        <w:ind w:left="5760" w:hanging="360"/>
      </w:pPr>
    </w:lvl>
    <w:lvl w:ilvl="8" w:tplc="BF48C3AA" w:tentative="1">
      <w:start w:val="1"/>
      <w:numFmt w:val="lowerRoman"/>
      <w:lvlText w:val="%9."/>
      <w:lvlJc w:val="right"/>
      <w:pPr>
        <w:tabs>
          <w:tab w:val="num" w:pos="6480"/>
        </w:tabs>
        <w:ind w:left="6480" w:hanging="180"/>
      </w:pPr>
    </w:lvl>
  </w:abstractNum>
  <w:abstractNum w:abstractNumId="9" w15:restartNumberingAfterBreak="0">
    <w:nsid w:val="7E50226D"/>
    <w:multiLevelType w:val="multilevel"/>
    <w:tmpl w:val="AF6C5D8C"/>
    <w:lvl w:ilvl="0">
      <w:start w:val="12"/>
      <w:numFmt w:val="decimal"/>
      <w:lvlText w:val="%1."/>
      <w:lvlJc w:val="left"/>
      <w:pPr>
        <w:tabs>
          <w:tab w:val="num" w:pos="576"/>
        </w:tabs>
        <w:ind w:left="576" w:hanging="576"/>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71810081">
    <w:abstractNumId w:val="6"/>
  </w:num>
  <w:num w:numId="2" w16cid:durableId="991638011">
    <w:abstractNumId w:val="7"/>
  </w:num>
  <w:num w:numId="3" w16cid:durableId="1570116968">
    <w:abstractNumId w:val="7"/>
    <w:lvlOverride w:ilvl="0">
      <w:lvl w:ilvl="0">
        <w:start w:val="1"/>
        <w:numFmt w:val="lowerRoman"/>
        <w:lvlText w:val="%1) "/>
        <w:legacy w:legacy="1" w:legacySpace="0" w:legacyIndent="283"/>
        <w:lvlJc w:val="left"/>
        <w:pPr>
          <w:ind w:left="708" w:hanging="283"/>
        </w:pPr>
        <w:rPr>
          <w:rFonts w:ascii="Arial" w:hAnsi="Arial" w:cs="Arial" w:hint="default"/>
          <w:b w:val="0"/>
          <w:bCs w:val="0"/>
          <w:i w:val="0"/>
          <w:iCs w:val="0"/>
          <w:sz w:val="18"/>
          <w:szCs w:val="18"/>
          <w:u w:val="none"/>
        </w:rPr>
      </w:lvl>
    </w:lvlOverride>
  </w:num>
  <w:num w:numId="4" w16cid:durableId="508762215">
    <w:abstractNumId w:val="0"/>
  </w:num>
  <w:num w:numId="5" w16cid:durableId="938829834">
    <w:abstractNumId w:val="3"/>
  </w:num>
  <w:num w:numId="6" w16cid:durableId="673069330">
    <w:abstractNumId w:val="1"/>
  </w:num>
  <w:num w:numId="7" w16cid:durableId="1078553708">
    <w:abstractNumId w:val="8"/>
  </w:num>
  <w:num w:numId="8" w16cid:durableId="1733961704">
    <w:abstractNumId w:val="5"/>
  </w:num>
  <w:num w:numId="9" w16cid:durableId="1848247458">
    <w:abstractNumId w:val="4"/>
  </w:num>
  <w:num w:numId="10" w16cid:durableId="1720469595">
    <w:abstractNumId w:val="2"/>
  </w:num>
  <w:num w:numId="11" w16cid:durableId="319358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8D"/>
    <w:rsid w:val="00016D4F"/>
    <w:rsid w:val="000178D5"/>
    <w:rsid w:val="000211F6"/>
    <w:rsid w:val="00027772"/>
    <w:rsid w:val="000329C2"/>
    <w:rsid w:val="00036E38"/>
    <w:rsid w:val="000424B9"/>
    <w:rsid w:val="000455C7"/>
    <w:rsid w:val="0004767C"/>
    <w:rsid w:val="0005366A"/>
    <w:rsid w:val="00067CA1"/>
    <w:rsid w:val="00072D1E"/>
    <w:rsid w:val="00074F23"/>
    <w:rsid w:val="000B6783"/>
    <w:rsid w:val="000C695E"/>
    <w:rsid w:val="000C7E88"/>
    <w:rsid w:val="000D01C8"/>
    <w:rsid w:val="000D2CE3"/>
    <w:rsid w:val="000D47FC"/>
    <w:rsid w:val="000E2BD2"/>
    <w:rsid w:val="000E4326"/>
    <w:rsid w:val="000E6029"/>
    <w:rsid w:val="00103370"/>
    <w:rsid w:val="00107B3A"/>
    <w:rsid w:val="001106B3"/>
    <w:rsid w:val="001303EA"/>
    <w:rsid w:val="00133C7A"/>
    <w:rsid w:val="0013480E"/>
    <w:rsid w:val="00141805"/>
    <w:rsid w:val="001420DA"/>
    <w:rsid w:val="001506B2"/>
    <w:rsid w:val="00152BA3"/>
    <w:rsid w:val="001541D2"/>
    <w:rsid w:val="0015579F"/>
    <w:rsid w:val="001628B3"/>
    <w:rsid w:val="00174C24"/>
    <w:rsid w:val="001841AC"/>
    <w:rsid w:val="001A101A"/>
    <w:rsid w:val="001A19D5"/>
    <w:rsid w:val="001A3DA2"/>
    <w:rsid w:val="001C35B9"/>
    <w:rsid w:val="001D593A"/>
    <w:rsid w:val="001D7BDE"/>
    <w:rsid w:val="001E0E9C"/>
    <w:rsid w:val="001E4326"/>
    <w:rsid w:val="001F7711"/>
    <w:rsid w:val="00204A16"/>
    <w:rsid w:val="0021260B"/>
    <w:rsid w:val="002134C0"/>
    <w:rsid w:val="00214B85"/>
    <w:rsid w:val="002225D9"/>
    <w:rsid w:val="00241419"/>
    <w:rsid w:val="0024300D"/>
    <w:rsid w:val="00243019"/>
    <w:rsid w:val="002451A5"/>
    <w:rsid w:val="00252FC5"/>
    <w:rsid w:val="00266B68"/>
    <w:rsid w:val="002715B5"/>
    <w:rsid w:val="00273EF4"/>
    <w:rsid w:val="00276025"/>
    <w:rsid w:val="002926DB"/>
    <w:rsid w:val="00293855"/>
    <w:rsid w:val="002A00A7"/>
    <w:rsid w:val="002A07CF"/>
    <w:rsid w:val="002A0FF9"/>
    <w:rsid w:val="002A4ED3"/>
    <w:rsid w:val="002A663A"/>
    <w:rsid w:val="002C0096"/>
    <w:rsid w:val="002C25A5"/>
    <w:rsid w:val="002C6674"/>
    <w:rsid w:val="002D01B2"/>
    <w:rsid w:val="002E3CA2"/>
    <w:rsid w:val="002F59F9"/>
    <w:rsid w:val="00320893"/>
    <w:rsid w:val="00322A95"/>
    <w:rsid w:val="003255A4"/>
    <w:rsid w:val="0033377B"/>
    <w:rsid w:val="00333FEF"/>
    <w:rsid w:val="00334358"/>
    <w:rsid w:val="003350EE"/>
    <w:rsid w:val="0034229F"/>
    <w:rsid w:val="00351CBB"/>
    <w:rsid w:val="00355274"/>
    <w:rsid w:val="003622CA"/>
    <w:rsid w:val="00363589"/>
    <w:rsid w:val="003712B3"/>
    <w:rsid w:val="00380575"/>
    <w:rsid w:val="0039317E"/>
    <w:rsid w:val="003931D1"/>
    <w:rsid w:val="00394C43"/>
    <w:rsid w:val="003962AF"/>
    <w:rsid w:val="003B7A32"/>
    <w:rsid w:val="003C46E1"/>
    <w:rsid w:val="003C59FE"/>
    <w:rsid w:val="003D18D7"/>
    <w:rsid w:val="003D563C"/>
    <w:rsid w:val="003D6D9B"/>
    <w:rsid w:val="003E0AD9"/>
    <w:rsid w:val="003E174F"/>
    <w:rsid w:val="004041F3"/>
    <w:rsid w:val="00413123"/>
    <w:rsid w:val="004223F8"/>
    <w:rsid w:val="00425AA0"/>
    <w:rsid w:val="004362D9"/>
    <w:rsid w:val="00440CCE"/>
    <w:rsid w:val="0045089D"/>
    <w:rsid w:val="004549FF"/>
    <w:rsid w:val="00463075"/>
    <w:rsid w:val="00466C81"/>
    <w:rsid w:val="00482BC9"/>
    <w:rsid w:val="004840F3"/>
    <w:rsid w:val="004877C6"/>
    <w:rsid w:val="004A2B21"/>
    <w:rsid w:val="004A56FE"/>
    <w:rsid w:val="004A5C3B"/>
    <w:rsid w:val="004B1ED6"/>
    <w:rsid w:val="004B6357"/>
    <w:rsid w:val="004C1A37"/>
    <w:rsid w:val="004D616C"/>
    <w:rsid w:val="004E580C"/>
    <w:rsid w:val="004E6ADE"/>
    <w:rsid w:val="004F2EBF"/>
    <w:rsid w:val="005024E1"/>
    <w:rsid w:val="00504FE3"/>
    <w:rsid w:val="005072BC"/>
    <w:rsid w:val="00517884"/>
    <w:rsid w:val="005215E2"/>
    <w:rsid w:val="00523EC0"/>
    <w:rsid w:val="00533141"/>
    <w:rsid w:val="00546EBC"/>
    <w:rsid w:val="00547ED2"/>
    <w:rsid w:val="00592EC3"/>
    <w:rsid w:val="00596966"/>
    <w:rsid w:val="005A1B61"/>
    <w:rsid w:val="005A5E06"/>
    <w:rsid w:val="005B7C8D"/>
    <w:rsid w:val="005C0C54"/>
    <w:rsid w:val="005C75D6"/>
    <w:rsid w:val="005D5A6F"/>
    <w:rsid w:val="005D78DF"/>
    <w:rsid w:val="005E7B98"/>
    <w:rsid w:val="0060224D"/>
    <w:rsid w:val="0061325D"/>
    <w:rsid w:val="0061666D"/>
    <w:rsid w:val="006268E2"/>
    <w:rsid w:val="00633C94"/>
    <w:rsid w:val="00636E28"/>
    <w:rsid w:val="00642B29"/>
    <w:rsid w:val="0064450F"/>
    <w:rsid w:val="00651614"/>
    <w:rsid w:val="00657A90"/>
    <w:rsid w:val="00657F0B"/>
    <w:rsid w:val="006619EB"/>
    <w:rsid w:val="00662C59"/>
    <w:rsid w:val="006652F3"/>
    <w:rsid w:val="006703DB"/>
    <w:rsid w:val="006832DE"/>
    <w:rsid w:val="00685A14"/>
    <w:rsid w:val="00692D17"/>
    <w:rsid w:val="006963E6"/>
    <w:rsid w:val="006971E0"/>
    <w:rsid w:val="00697F71"/>
    <w:rsid w:val="006A1EFA"/>
    <w:rsid w:val="006A260D"/>
    <w:rsid w:val="006B2750"/>
    <w:rsid w:val="006B3736"/>
    <w:rsid w:val="006C0B5D"/>
    <w:rsid w:val="006C25C0"/>
    <w:rsid w:val="006C49E1"/>
    <w:rsid w:val="006C5C29"/>
    <w:rsid w:val="006D6D5B"/>
    <w:rsid w:val="006E78DA"/>
    <w:rsid w:val="006E7E9D"/>
    <w:rsid w:val="006F1609"/>
    <w:rsid w:val="006F744F"/>
    <w:rsid w:val="006F7833"/>
    <w:rsid w:val="00703119"/>
    <w:rsid w:val="007043AC"/>
    <w:rsid w:val="007141DB"/>
    <w:rsid w:val="00721A44"/>
    <w:rsid w:val="00722FDE"/>
    <w:rsid w:val="00737517"/>
    <w:rsid w:val="00737675"/>
    <w:rsid w:val="00745863"/>
    <w:rsid w:val="00755F3D"/>
    <w:rsid w:val="007725A5"/>
    <w:rsid w:val="007947E2"/>
    <w:rsid w:val="00796E41"/>
    <w:rsid w:val="007A2105"/>
    <w:rsid w:val="007A2708"/>
    <w:rsid w:val="007A4832"/>
    <w:rsid w:val="007B06F9"/>
    <w:rsid w:val="007C2DAE"/>
    <w:rsid w:val="007D2ABA"/>
    <w:rsid w:val="007E640D"/>
    <w:rsid w:val="007F78C9"/>
    <w:rsid w:val="008015EF"/>
    <w:rsid w:val="0080224E"/>
    <w:rsid w:val="00806349"/>
    <w:rsid w:val="0082376C"/>
    <w:rsid w:val="00824B6E"/>
    <w:rsid w:val="00835028"/>
    <w:rsid w:val="008439BE"/>
    <w:rsid w:val="00852D0E"/>
    <w:rsid w:val="00863CEF"/>
    <w:rsid w:val="00872200"/>
    <w:rsid w:val="0087537A"/>
    <w:rsid w:val="008777DD"/>
    <w:rsid w:val="00877C7C"/>
    <w:rsid w:val="00890BE4"/>
    <w:rsid w:val="008A0F1B"/>
    <w:rsid w:val="008B1598"/>
    <w:rsid w:val="008B33EF"/>
    <w:rsid w:val="008D11A0"/>
    <w:rsid w:val="008D12B2"/>
    <w:rsid w:val="008D64FD"/>
    <w:rsid w:val="008E518C"/>
    <w:rsid w:val="008F3269"/>
    <w:rsid w:val="00901569"/>
    <w:rsid w:val="009063C4"/>
    <w:rsid w:val="00921A31"/>
    <w:rsid w:val="00924880"/>
    <w:rsid w:val="00933233"/>
    <w:rsid w:val="009337E5"/>
    <w:rsid w:val="009349CE"/>
    <w:rsid w:val="00953FA1"/>
    <w:rsid w:val="00977120"/>
    <w:rsid w:val="00990388"/>
    <w:rsid w:val="009931F1"/>
    <w:rsid w:val="009A5457"/>
    <w:rsid w:val="009B03A3"/>
    <w:rsid w:val="009C4D77"/>
    <w:rsid w:val="009D2DCA"/>
    <w:rsid w:val="009D3A26"/>
    <w:rsid w:val="009D4DB1"/>
    <w:rsid w:val="009F7D86"/>
    <w:rsid w:val="00A034AD"/>
    <w:rsid w:val="00A04A48"/>
    <w:rsid w:val="00A06FEB"/>
    <w:rsid w:val="00A17C21"/>
    <w:rsid w:val="00A24F48"/>
    <w:rsid w:val="00A37073"/>
    <w:rsid w:val="00A47C72"/>
    <w:rsid w:val="00A6218B"/>
    <w:rsid w:val="00A6439E"/>
    <w:rsid w:val="00A6551C"/>
    <w:rsid w:val="00A66B91"/>
    <w:rsid w:val="00A67A0D"/>
    <w:rsid w:val="00A72ACF"/>
    <w:rsid w:val="00A77583"/>
    <w:rsid w:val="00A777FB"/>
    <w:rsid w:val="00A85E69"/>
    <w:rsid w:val="00A90984"/>
    <w:rsid w:val="00AA45E7"/>
    <w:rsid w:val="00AB5E94"/>
    <w:rsid w:val="00AB6FFD"/>
    <w:rsid w:val="00AC5B22"/>
    <w:rsid w:val="00AC665B"/>
    <w:rsid w:val="00AE0BEB"/>
    <w:rsid w:val="00AE522A"/>
    <w:rsid w:val="00AE678A"/>
    <w:rsid w:val="00AE6A02"/>
    <w:rsid w:val="00AE7577"/>
    <w:rsid w:val="00AF3620"/>
    <w:rsid w:val="00AF7D31"/>
    <w:rsid w:val="00B008B0"/>
    <w:rsid w:val="00B0530F"/>
    <w:rsid w:val="00B122EB"/>
    <w:rsid w:val="00B1371A"/>
    <w:rsid w:val="00B1376C"/>
    <w:rsid w:val="00B25A46"/>
    <w:rsid w:val="00B27F1A"/>
    <w:rsid w:val="00B31664"/>
    <w:rsid w:val="00B45092"/>
    <w:rsid w:val="00B46BB9"/>
    <w:rsid w:val="00B5538B"/>
    <w:rsid w:val="00B65FCC"/>
    <w:rsid w:val="00B805CC"/>
    <w:rsid w:val="00B92E34"/>
    <w:rsid w:val="00B97921"/>
    <w:rsid w:val="00BA3280"/>
    <w:rsid w:val="00BA32FE"/>
    <w:rsid w:val="00BA4122"/>
    <w:rsid w:val="00BA557D"/>
    <w:rsid w:val="00BB0CF6"/>
    <w:rsid w:val="00BB7A4B"/>
    <w:rsid w:val="00BC6CB9"/>
    <w:rsid w:val="00BD4BA0"/>
    <w:rsid w:val="00BD5DC4"/>
    <w:rsid w:val="00BD6104"/>
    <w:rsid w:val="00BE6F13"/>
    <w:rsid w:val="00BE6FD3"/>
    <w:rsid w:val="00BF2712"/>
    <w:rsid w:val="00BF2CA5"/>
    <w:rsid w:val="00BF625B"/>
    <w:rsid w:val="00C06606"/>
    <w:rsid w:val="00C10710"/>
    <w:rsid w:val="00C17398"/>
    <w:rsid w:val="00C22A94"/>
    <w:rsid w:val="00C2397D"/>
    <w:rsid w:val="00C25D6A"/>
    <w:rsid w:val="00C31D36"/>
    <w:rsid w:val="00C56EF7"/>
    <w:rsid w:val="00C60572"/>
    <w:rsid w:val="00C61AE5"/>
    <w:rsid w:val="00C816D1"/>
    <w:rsid w:val="00C94B6A"/>
    <w:rsid w:val="00CB578A"/>
    <w:rsid w:val="00CB70F9"/>
    <w:rsid w:val="00CC2F9B"/>
    <w:rsid w:val="00CC350E"/>
    <w:rsid w:val="00CD14D3"/>
    <w:rsid w:val="00CD36DB"/>
    <w:rsid w:val="00CD432F"/>
    <w:rsid w:val="00CE1E76"/>
    <w:rsid w:val="00CF65BA"/>
    <w:rsid w:val="00CF7586"/>
    <w:rsid w:val="00D01534"/>
    <w:rsid w:val="00D062B7"/>
    <w:rsid w:val="00D0784F"/>
    <w:rsid w:val="00D10289"/>
    <w:rsid w:val="00D162F8"/>
    <w:rsid w:val="00D16B0C"/>
    <w:rsid w:val="00D2265D"/>
    <w:rsid w:val="00D26CCD"/>
    <w:rsid w:val="00D40CCE"/>
    <w:rsid w:val="00D41AE2"/>
    <w:rsid w:val="00D424E4"/>
    <w:rsid w:val="00D47C3D"/>
    <w:rsid w:val="00D51039"/>
    <w:rsid w:val="00D52B9D"/>
    <w:rsid w:val="00D57BE5"/>
    <w:rsid w:val="00D62099"/>
    <w:rsid w:val="00D6243A"/>
    <w:rsid w:val="00D64799"/>
    <w:rsid w:val="00D73E27"/>
    <w:rsid w:val="00D81300"/>
    <w:rsid w:val="00D84CFE"/>
    <w:rsid w:val="00D85999"/>
    <w:rsid w:val="00D93C9D"/>
    <w:rsid w:val="00D943AC"/>
    <w:rsid w:val="00DA438C"/>
    <w:rsid w:val="00DC17C5"/>
    <w:rsid w:val="00DC4BA1"/>
    <w:rsid w:val="00DC59F1"/>
    <w:rsid w:val="00DD495C"/>
    <w:rsid w:val="00DD708D"/>
    <w:rsid w:val="00E0386A"/>
    <w:rsid w:val="00E13203"/>
    <w:rsid w:val="00E140F1"/>
    <w:rsid w:val="00E15D5B"/>
    <w:rsid w:val="00E16435"/>
    <w:rsid w:val="00E21F23"/>
    <w:rsid w:val="00E24D34"/>
    <w:rsid w:val="00E26CF4"/>
    <w:rsid w:val="00E334CB"/>
    <w:rsid w:val="00E351EF"/>
    <w:rsid w:val="00E35DAB"/>
    <w:rsid w:val="00E45D91"/>
    <w:rsid w:val="00E45DAF"/>
    <w:rsid w:val="00E5289B"/>
    <w:rsid w:val="00E52A02"/>
    <w:rsid w:val="00E60B62"/>
    <w:rsid w:val="00E66A51"/>
    <w:rsid w:val="00E67BF4"/>
    <w:rsid w:val="00E73718"/>
    <w:rsid w:val="00E74EE7"/>
    <w:rsid w:val="00E83961"/>
    <w:rsid w:val="00E86CF1"/>
    <w:rsid w:val="00E94131"/>
    <w:rsid w:val="00EA7B16"/>
    <w:rsid w:val="00EB3C2B"/>
    <w:rsid w:val="00EC1ECB"/>
    <w:rsid w:val="00EC3C79"/>
    <w:rsid w:val="00EC7265"/>
    <w:rsid w:val="00EC778A"/>
    <w:rsid w:val="00ED2141"/>
    <w:rsid w:val="00ED32EB"/>
    <w:rsid w:val="00ED7484"/>
    <w:rsid w:val="00EE32AE"/>
    <w:rsid w:val="00EE643B"/>
    <w:rsid w:val="00EF5892"/>
    <w:rsid w:val="00F03713"/>
    <w:rsid w:val="00F05EFA"/>
    <w:rsid w:val="00F37A3D"/>
    <w:rsid w:val="00F50C5D"/>
    <w:rsid w:val="00F62174"/>
    <w:rsid w:val="00F62F6C"/>
    <w:rsid w:val="00F65278"/>
    <w:rsid w:val="00F815C5"/>
    <w:rsid w:val="00F90FA2"/>
    <w:rsid w:val="00F9295E"/>
    <w:rsid w:val="00F97C12"/>
    <w:rsid w:val="00FA548B"/>
    <w:rsid w:val="00FA56B8"/>
    <w:rsid w:val="00FA717F"/>
    <w:rsid w:val="00FA7201"/>
    <w:rsid w:val="00FA731A"/>
    <w:rsid w:val="00FB2125"/>
    <w:rsid w:val="00FB65BA"/>
    <w:rsid w:val="00FB7330"/>
    <w:rsid w:val="00FC48AB"/>
    <w:rsid w:val="00FD1DBA"/>
    <w:rsid w:val="00FD3AA1"/>
    <w:rsid w:val="00FE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737FA9"/>
  <w15:docId w15:val="{175FFB5E-1148-4AF7-B8A8-A21F2E71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17"/>
    <w:rPr>
      <w:rFonts w:cs="Times"/>
      <w:sz w:val="24"/>
      <w:szCs w:val="24"/>
      <w:lang w:eastAsia="fr-FR"/>
    </w:rPr>
  </w:style>
  <w:style w:type="paragraph" w:styleId="Heading1">
    <w:name w:val="heading 1"/>
    <w:basedOn w:val="Normal"/>
    <w:next w:val="Normal"/>
    <w:link w:val="Heading1Char"/>
    <w:uiPriority w:val="99"/>
    <w:qFormat/>
    <w:rsid w:val="005024E1"/>
    <w:pPr>
      <w:tabs>
        <w:tab w:val="left" w:pos="-720"/>
      </w:tabs>
      <w:spacing w:before="240" w:line="360" w:lineRule="atLeast"/>
      <w:jc w:val="both"/>
      <w:outlineLvl w:val="0"/>
    </w:pPr>
    <w:rPr>
      <w:rFonts w:ascii="Arial" w:eastAsia="Times New Roman" w:hAnsi="Arial" w:cs="Arial"/>
      <w:b/>
      <w:bCs/>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_title"/>
    <w:basedOn w:val="Normal"/>
    <w:rsid w:val="00C10710"/>
    <w:pPr>
      <w:pBdr>
        <w:bottom w:val="single" w:sz="6" w:space="10" w:color="auto"/>
      </w:pBdr>
      <w:tabs>
        <w:tab w:val="left" w:pos="-720"/>
      </w:tabs>
      <w:jc w:val="center"/>
    </w:pPr>
    <w:rPr>
      <w:rFonts w:ascii="Söhne Halbfett" w:eastAsia="Times New Roman" w:hAnsi="Söhne Halbfett" w:cs="Times New Roman"/>
      <w:caps/>
      <w:spacing w:val="40"/>
      <w:sz w:val="32"/>
      <w:szCs w:val="20"/>
      <w:lang w:val="en-GB"/>
    </w:rPr>
  </w:style>
  <w:style w:type="paragraph" w:customStyle="1" w:styleId="Summarytitle">
    <w:name w:val="Summary_title"/>
    <w:basedOn w:val="Normal"/>
    <w:uiPriority w:val="99"/>
    <w:rsid w:val="00C10710"/>
    <w:pPr>
      <w:tabs>
        <w:tab w:val="left" w:pos="-720"/>
      </w:tabs>
      <w:spacing w:before="1200" w:after="240"/>
      <w:jc w:val="center"/>
    </w:pPr>
    <w:rPr>
      <w:rFonts w:ascii="Söhne Halbfett" w:eastAsia="Times New Roman" w:hAnsi="Söhne Halbfett" w:cs="Times New Roman"/>
      <w:bCs/>
      <w:caps/>
      <w:lang w:val="en-GB"/>
    </w:rPr>
  </w:style>
  <w:style w:type="paragraph" w:customStyle="1" w:styleId="A">
    <w:name w:val="A"/>
    <w:basedOn w:val="Normal"/>
    <w:uiPriority w:val="99"/>
    <w:rsid w:val="00C10710"/>
    <w:pPr>
      <w:tabs>
        <w:tab w:val="left" w:pos="-720"/>
      </w:tabs>
      <w:spacing w:after="240"/>
      <w:jc w:val="center"/>
    </w:pPr>
    <w:rPr>
      <w:rFonts w:ascii="Söhne Halbfett" w:eastAsia="Times New Roman" w:hAnsi="Söhne Halbfett" w:cs="Times New Roman"/>
      <w:bCs/>
      <w:caps/>
      <w:lang w:val="en-GB"/>
    </w:rPr>
  </w:style>
  <w:style w:type="paragraph" w:customStyle="1" w:styleId="sumtexte">
    <w:name w:val="sumtexte"/>
    <w:basedOn w:val="Normal"/>
    <w:rsid w:val="00C10710"/>
    <w:pPr>
      <w:tabs>
        <w:tab w:val="left" w:pos="-720"/>
      </w:tabs>
      <w:spacing w:after="120" w:line="240" w:lineRule="exact"/>
      <w:ind w:left="567" w:right="567"/>
      <w:jc w:val="both"/>
    </w:pPr>
    <w:rPr>
      <w:rFonts w:ascii="Söhne" w:eastAsia="Times New Roman" w:hAnsi="Söhne" w:cs="Arial"/>
      <w:i/>
      <w:iCs/>
      <w:sz w:val="18"/>
      <w:szCs w:val="18"/>
      <w:lang w:val="en-GB"/>
    </w:rPr>
  </w:style>
  <w:style w:type="paragraph" w:customStyle="1" w:styleId="paraA">
    <w:name w:val="paraA"/>
    <w:basedOn w:val="Normal"/>
    <w:link w:val="paraACar"/>
    <w:uiPriority w:val="99"/>
    <w:rsid w:val="00C10710"/>
    <w:pPr>
      <w:tabs>
        <w:tab w:val="left" w:pos="-720"/>
      </w:tabs>
      <w:spacing w:after="240"/>
      <w:jc w:val="both"/>
    </w:pPr>
    <w:rPr>
      <w:rFonts w:ascii="Söhne" w:eastAsia="Times New Roman" w:hAnsi="Söhne" w:cs="Times New Roman"/>
      <w:sz w:val="18"/>
      <w:szCs w:val="18"/>
      <w:lang w:val="en-GB"/>
    </w:rPr>
  </w:style>
  <w:style w:type="paragraph" w:customStyle="1" w:styleId="1">
    <w:name w:val="1"/>
    <w:basedOn w:val="Normal"/>
    <w:uiPriority w:val="99"/>
    <w:rsid w:val="00C10710"/>
    <w:pPr>
      <w:spacing w:after="120"/>
      <w:ind w:left="426" w:hanging="426"/>
      <w:jc w:val="both"/>
    </w:pPr>
    <w:rPr>
      <w:rFonts w:ascii="Söhne Halbfett" w:eastAsiaTheme="minorEastAsia" w:hAnsi="Söhne Halbfett" w:cs="Arial"/>
      <w:bCs/>
      <w:color w:val="000000"/>
      <w:sz w:val="22"/>
      <w:szCs w:val="18"/>
      <w:lang w:val="en-GB" w:eastAsia="en-US"/>
    </w:rPr>
  </w:style>
  <w:style w:type="paragraph" w:customStyle="1" w:styleId="para1">
    <w:name w:val="para1"/>
    <w:basedOn w:val="Normal"/>
    <w:uiPriority w:val="99"/>
    <w:rsid w:val="00806349"/>
    <w:pPr>
      <w:tabs>
        <w:tab w:val="left" w:pos="-720"/>
      </w:tabs>
      <w:spacing w:after="240"/>
      <w:jc w:val="both"/>
    </w:pPr>
    <w:rPr>
      <w:rFonts w:ascii="Söhne" w:eastAsia="Times New Roman" w:hAnsi="Söhne" w:cs="Arial"/>
      <w:sz w:val="18"/>
      <w:szCs w:val="18"/>
      <w:lang w:val="en-GB"/>
    </w:rPr>
  </w:style>
  <w:style w:type="paragraph" w:customStyle="1" w:styleId="a0">
    <w:name w:val="a)"/>
    <w:basedOn w:val="Normal"/>
    <w:uiPriority w:val="99"/>
    <w:rsid w:val="00692D17"/>
    <w:pPr>
      <w:spacing w:after="120"/>
      <w:ind w:left="425" w:hanging="425"/>
      <w:jc w:val="both"/>
    </w:pPr>
    <w:rPr>
      <w:rFonts w:ascii="Ottawa" w:eastAsia="Times New Roman" w:hAnsi="Ottawa" w:cs="Ottawa"/>
      <w:b/>
      <w:bCs/>
      <w:sz w:val="20"/>
      <w:szCs w:val="20"/>
      <w:lang w:val="en-GB"/>
    </w:rPr>
  </w:style>
  <w:style w:type="paragraph" w:customStyle="1" w:styleId="i">
    <w:name w:val="i)"/>
    <w:basedOn w:val="Normal"/>
    <w:uiPriority w:val="99"/>
    <w:rsid w:val="00C10710"/>
    <w:pPr>
      <w:spacing w:after="120"/>
      <w:ind w:left="1843" w:hanging="425"/>
      <w:jc w:val="both"/>
    </w:pPr>
    <w:rPr>
      <w:rFonts w:ascii="Söhne" w:eastAsiaTheme="minorEastAsia" w:hAnsi="Söhne" w:cs="Arial"/>
      <w:sz w:val="18"/>
      <w:szCs w:val="18"/>
      <w:lang w:val="en-GB" w:eastAsia="en-US"/>
    </w:rPr>
  </w:style>
  <w:style w:type="character" w:styleId="FootnoteReference">
    <w:name w:val="footnote reference"/>
    <w:basedOn w:val="DefaultParagraphFont"/>
    <w:uiPriority w:val="99"/>
    <w:semiHidden/>
    <w:rsid w:val="00692D17"/>
    <w:rPr>
      <w:vertAlign w:val="superscript"/>
    </w:rPr>
  </w:style>
  <w:style w:type="paragraph" w:customStyle="1" w:styleId="paraa0">
    <w:name w:val="paraa)"/>
    <w:basedOn w:val="Normal"/>
    <w:uiPriority w:val="99"/>
    <w:rsid w:val="00692D17"/>
    <w:pPr>
      <w:tabs>
        <w:tab w:val="left" w:pos="-720"/>
      </w:tabs>
      <w:spacing w:after="240"/>
      <w:ind w:left="425"/>
      <w:jc w:val="both"/>
    </w:pPr>
    <w:rPr>
      <w:rFonts w:ascii="Arial" w:eastAsia="Times New Roman" w:hAnsi="Arial" w:cs="Arial"/>
      <w:sz w:val="18"/>
      <w:szCs w:val="18"/>
      <w:lang w:val="en-GB"/>
    </w:rPr>
  </w:style>
  <w:style w:type="paragraph" w:customStyle="1" w:styleId="Ref">
    <w:name w:val="Ref."/>
    <w:basedOn w:val="Normal"/>
    <w:uiPriority w:val="99"/>
    <w:rsid w:val="00C10710"/>
    <w:pPr>
      <w:tabs>
        <w:tab w:val="left" w:pos="-720"/>
      </w:tabs>
      <w:spacing w:after="240"/>
      <w:jc w:val="both"/>
    </w:pPr>
    <w:rPr>
      <w:rFonts w:ascii="Söhne" w:eastAsia="Times New Roman" w:hAnsi="Söhne" w:cs="Arial"/>
      <w:sz w:val="18"/>
      <w:szCs w:val="18"/>
      <w:lang w:val="en-GB"/>
    </w:rPr>
  </w:style>
  <w:style w:type="paragraph" w:styleId="BodyText2">
    <w:name w:val="Body Text 2"/>
    <w:basedOn w:val="Normal"/>
    <w:link w:val="BodyText2Char"/>
    <w:uiPriority w:val="99"/>
    <w:rsid w:val="00692D17"/>
    <w:pPr>
      <w:jc w:val="both"/>
    </w:pPr>
    <w:rPr>
      <w:rFonts w:eastAsia="Batang"/>
    </w:rPr>
  </w:style>
  <w:style w:type="character" w:customStyle="1" w:styleId="BodyText2Char">
    <w:name w:val="Body Text 2 Char"/>
    <w:basedOn w:val="DefaultParagraphFont"/>
    <w:link w:val="BodyText2"/>
    <w:uiPriority w:val="99"/>
    <w:semiHidden/>
    <w:rsid w:val="003567ED"/>
    <w:rPr>
      <w:rFonts w:cs="Times"/>
      <w:sz w:val="24"/>
      <w:szCs w:val="24"/>
      <w:lang w:eastAsia="fr-FR"/>
    </w:rPr>
  </w:style>
  <w:style w:type="paragraph" w:customStyle="1" w:styleId="rtoiles">
    <w:name w:val="r_étoiles"/>
    <w:basedOn w:val="Normal"/>
    <w:next w:val="Normal"/>
    <w:uiPriority w:val="99"/>
    <w:rsid w:val="00C10710"/>
    <w:pPr>
      <w:keepLines/>
      <w:spacing w:before="240" w:after="240" w:line="240" w:lineRule="atLeast"/>
      <w:jc w:val="center"/>
    </w:pPr>
    <w:rPr>
      <w:rFonts w:ascii="Times New Roman" w:eastAsia="Times New Roman" w:hAnsi="Times New Roman" w:cs="Times New Roman"/>
      <w:sz w:val="20"/>
      <w:szCs w:val="20"/>
      <w:lang w:val="fr-FR"/>
    </w:rPr>
  </w:style>
  <w:style w:type="paragraph" w:styleId="FootnoteText">
    <w:name w:val="footnote text"/>
    <w:basedOn w:val="Normal"/>
    <w:link w:val="FootnoteTextChar"/>
    <w:uiPriority w:val="99"/>
    <w:semiHidden/>
    <w:rsid w:val="00692D17"/>
    <w:pPr>
      <w:tabs>
        <w:tab w:val="left" w:pos="-720"/>
      </w:tabs>
      <w:spacing w:line="360" w:lineRule="atLeast"/>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141805"/>
    <w:rPr>
      <w:rFonts w:ascii="Times New Roman" w:hAnsi="Times New Roman" w:cs="Times New Roman"/>
      <w:lang w:eastAsia="fr-FR"/>
    </w:rPr>
  </w:style>
  <w:style w:type="paragraph" w:customStyle="1" w:styleId="Chatperno">
    <w:name w:val="Chatper_no"/>
    <w:basedOn w:val="Normal"/>
    <w:uiPriority w:val="99"/>
    <w:rsid w:val="00C10710"/>
    <w:pPr>
      <w:tabs>
        <w:tab w:val="left" w:pos="-720"/>
      </w:tabs>
      <w:spacing w:after="240"/>
      <w:jc w:val="center"/>
    </w:pPr>
    <w:rPr>
      <w:rFonts w:ascii="Söhne Kräftig" w:eastAsia="Times New Roman" w:hAnsi="Söhne Kräftig" w:cs="Times New Roman"/>
      <w:caps/>
      <w:spacing w:val="60"/>
      <w:szCs w:val="20"/>
      <w:lang w:val="en-GB"/>
    </w:rPr>
  </w:style>
  <w:style w:type="paragraph" w:styleId="Header">
    <w:name w:val="header"/>
    <w:basedOn w:val="Normal"/>
    <w:link w:val="HeaderChar"/>
    <w:uiPriority w:val="99"/>
    <w:rsid w:val="00C10710"/>
    <w:pPr>
      <w:widowControl w:val="0"/>
      <w:pBdr>
        <w:bottom w:val="single" w:sz="4" w:space="5" w:color="auto"/>
      </w:pBdr>
      <w:tabs>
        <w:tab w:val="center" w:pos="4536"/>
        <w:tab w:val="right" w:pos="9072"/>
      </w:tabs>
      <w:jc w:val="center"/>
    </w:pPr>
    <w:rPr>
      <w:rFonts w:ascii="Söhne" w:eastAsiaTheme="minorEastAsia" w:hAnsi="Söhne" w:cs="Times New Roman"/>
      <w:i/>
      <w:sz w:val="16"/>
      <w:szCs w:val="22"/>
      <w:lang w:eastAsia="en-US"/>
    </w:rPr>
  </w:style>
  <w:style w:type="character" w:customStyle="1" w:styleId="HeaderChar">
    <w:name w:val="Header Char"/>
    <w:basedOn w:val="DefaultParagraphFont"/>
    <w:link w:val="Header"/>
    <w:uiPriority w:val="99"/>
    <w:rsid w:val="00C10710"/>
    <w:rPr>
      <w:rFonts w:ascii="Söhne" w:eastAsiaTheme="minorEastAsia" w:hAnsi="Söhne"/>
      <w:i/>
      <w:sz w:val="16"/>
    </w:rPr>
  </w:style>
  <w:style w:type="paragraph" w:styleId="Footer">
    <w:name w:val="footer"/>
    <w:basedOn w:val="Normal"/>
    <w:link w:val="FooterChar"/>
    <w:uiPriority w:val="99"/>
    <w:rsid w:val="00C10710"/>
    <w:pPr>
      <w:widowControl w:val="0"/>
      <w:pBdr>
        <w:top w:val="single" w:sz="4" w:space="5" w:color="auto"/>
      </w:pBdr>
      <w:tabs>
        <w:tab w:val="right" w:pos="9072"/>
      </w:tabs>
    </w:pPr>
    <w:rPr>
      <w:rFonts w:ascii="Söhne" w:eastAsiaTheme="minorEastAsia" w:hAnsi="Söhne" w:cs="Times New Roman"/>
      <w:sz w:val="16"/>
      <w:szCs w:val="22"/>
      <w:lang w:eastAsia="en-US"/>
    </w:rPr>
  </w:style>
  <w:style w:type="character" w:customStyle="1" w:styleId="FooterChar">
    <w:name w:val="Footer Char"/>
    <w:basedOn w:val="DefaultParagraphFont"/>
    <w:link w:val="Footer"/>
    <w:uiPriority w:val="99"/>
    <w:rsid w:val="00C10710"/>
    <w:rPr>
      <w:rFonts w:ascii="Söhne" w:eastAsiaTheme="minorEastAsia" w:hAnsi="Söhne"/>
      <w:sz w:val="16"/>
    </w:rPr>
  </w:style>
  <w:style w:type="character" w:styleId="LineNumber">
    <w:name w:val="line number"/>
    <w:basedOn w:val="DefaultParagraphFont"/>
    <w:uiPriority w:val="99"/>
    <w:rsid w:val="00C56EF7"/>
    <w:rPr>
      <w:rFonts w:ascii="Arial" w:hAnsi="Arial" w:cs="Arial"/>
      <w:sz w:val="16"/>
      <w:szCs w:val="16"/>
    </w:rPr>
  </w:style>
  <w:style w:type="paragraph" w:styleId="BalloonText">
    <w:name w:val="Balloon Text"/>
    <w:basedOn w:val="Normal"/>
    <w:link w:val="BalloonTextChar"/>
    <w:uiPriority w:val="99"/>
    <w:semiHidden/>
    <w:rsid w:val="00692D17"/>
    <w:rPr>
      <w:rFonts w:ascii="Tahoma" w:hAnsi="Tahoma" w:cs="Tahoma"/>
      <w:sz w:val="16"/>
      <w:szCs w:val="16"/>
    </w:rPr>
  </w:style>
  <w:style w:type="character" w:customStyle="1" w:styleId="BalloonTextChar">
    <w:name w:val="Balloon Text Char"/>
    <w:basedOn w:val="DefaultParagraphFont"/>
    <w:link w:val="BalloonText"/>
    <w:uiPriority w:val="99"/>
    <w:semiHidden/>
    <w:rsid w:val="003567ED"/>
    <w:rPr>
      <w:rFonts w:ascii="Times New Roman" w:hAnsi="Times New Roman"/>
      <w:sz w:val="0"/>
      <w:szCs w:val="0"/>
      <w:lang w:eastAsia="fr-FR"/>
    </w:rPr>
  </w:style>
  <w:style w:type="character" w:styleId="CommentReference">
    <w:name w:val="annotation reference"/>
    <w:basedOn w:val="DefaultParagraphFont"/>
    <w:uiPriority w:val="99"/>
    <w:semiHidden/>
    <w:rsid w:val="00692D17"/>
    <w:rPr>
      <w:sz w:val="16"/>
      <w:szCs w:val="16"/>
    </w:rPr>
  </w:style>
  <w:style w:type="paragraph" w:styleId="CommentText">
    <w:name w:val="annotation text"/>
    <w:basedOn w:val="Normal"/>
    <w:link w:val="CommentTextChar"/>
    <w:uiPriority w:val="99"/>
    <w:semiHidden/>
    <w:rsid w:val="00692D17"/>
    <w:rPr>
      <w:sz w:val="20"/>
      <w:szCs w:val="20"/>
    </w:rPr>
  </w:style>
  <w:style w:type="character" w:customStyle="1" w:styleId="CommentTextChar">
    <w:name w:val="Comment Text Char"/>
    <w:basedOn w:val="DefaultParagraphFont"/>
    <w:link w:val="CommentText"/>
    <w:uiPriority w:val="99"/>
    <w:semiHidden/>
    <w:rsid w:val="003567ED"/>
    <w:rPr>
      <w:rFonts w:cs="Times"/>
      <w:sz w:val="20"/>
      <w:szCs w:val="20"/>
      <w:lang w:eastAsia="fr-FR"/>
    </w:rPr>
  </w:style>
  <w:style w:type="paragraph" w:styleId="CommentSubject">
    <w:name w:val="annotation subject"/>
    <w:basedOn w:val="CommentText"/>
    <w:next w:val="CommentText"/>
    <w:link w:val="CommentSubjectChar"/>
    <w:uiPriority w:val="99"/>
    <w:semiHidden/>
    <w:rsid w:val="00692D17"/>
    <w:rPr>
      <w:b/>
      <w:bCs/>
    </w:rPr>
  </w:style>
  <w:style w:type="character" w:customStyle="1" w:styleId="CommentSubjectChar">
    <w:name w:val="Comment Subject Char"/>
    <w:basedOn w:val="CommentTextChar"/>
    <w:link w:val="CommentSubject"/>
    <w:uiPriority w:val="99"/>
    <w:semiHidden/>
    <w:rsid w:val="003567ED"/>
    <w:rPr>
      <w:rFonts w:cs="Times"/>
      <w:b/>
      <w:bCs/>
      <w:sz w:val="20"/>
      <w:szCs w:val="20"/>
      <w:lang w:eastAsia="fr-FR"/>
    </w:rPr>
  </w:style>
  <w:style w:type="paragraph" w:customStyle="1" w:styleId="TableHead">
    <w:name w:val="Table Head"/>
    <w:basedOn w:val="Normal"/>
    <w:uiPriority w:val="99"/>
    <w:rsid w:val="00141805"/>
    <w:pPr>
      <w:spacing w:before="120" w:after="120"/>
      <w:jc w:val="center"/>
    </w:pPr>
    <w:rPr>
      <w:rFonts w:ascii="Ottawa" w:eastAsia="Times New Roman" w:hAnsi="Ottawa" w:cs="Ottawa"/>
      <w:b/>
      <w:bCs/>
      <w:sz w:val="18"/>
      <w:szCs w:val="18"/>
      <w:lang w:val="en-IE" w:eastAsia="en-US"/>
    </w:rPr>
  </w:style>
  <w:style w:type="paragraph" w:customStyle="1" w:styleId="Tabletext">
    <w:name w:val="Table text"/>
    <w:basedOn w:val="Normal"/>
    <w:uiPriority w:val="99"/>
    <w:rsid w:val="00141805"/>
    <w:pPr>
      <w:spacing w:before="120" w:after="120"/>
      <w:jc w:val="center"/>
    </w:pPr>
    <w:rPr>
      <w:rFonts w:ascii="Arial" w:eastAsia="Times New Roman" w:hAnsi="Arial" w:cs="Arial"/>
      <w:sz w:val="18"/>
      <w:szCs w:val="18"/>
      <w:lang w:val="en-IE" w:eastAsia="en-US"/>
    </w:rPr>
  </w:style>
  <w:style w:type="character" w:customStyle="1" w:styleId="paraACar">
    <w:name w:val="paraA Car"/>
    <w:link w:val="paraA"/>
    <w:uiPriority w:val="99"/>
    <w:rsid w:val="00C10710"/>
    <w:rPr>
      <w:rFonts w:ascii="Söhne" w:eastAsia="Times New Roman" w:hAnsi="Söhne"/>
      <w:sz w:val="18"/>
      <w:szCs w:val="18"/>
      <w:lang w:val="en-GB" w:eastAsia="fr-FR"/>
    </w:rPr>
  </w:style>
  <w:style w:type="paragraph" w:styleId="PlainText">
    <w:name w:val="Plain Text"/>
    <w:basedOn w:val="Normal"/>
    <w:link w:val="PlainTextChar"/>
    <w:uiPriority w:val="99"/>
    <w:rsid w:val="00141805"/>
    <w:rPr>
      <w:rFonts w:ascii="Calibri" w:eastAsia="Times New Roman" w:hAnsi="Calibri" w:cs="Calibri"/>
      <w:sz w:val="22"/>
      <w:szCs w:val="22"/>
      <w:lang w:val="en-GB" w:eastAsia="en-US"/>
    </w:rPr>
  </w:style>
  <w:style w:type="character" w:customStyle="1" w:styleId="PlainTextChar">
    <w:name w:val="Plain Text Char"/>
    <w:basedOn w:val="DefaultParagraphFont"/>
    <w:link w:val="PlainText"/>
    <w:uiPriority w:val="99"/>
    <w:rsid w:val="00141805"/>
    <w:rPr>
      <w:rFonts w:ascii="Calibri" w:hAnsi="Calibri" w:cs="Calibri"/>
      <w:sz w:val="21"/>
      <w:szCs w:val="21"/>
      <w:lang w:eastAsia="en-US"/>
    </w:rPr>
  </w:style>
  <w:style w:type="paragraph" w:customStyle="1" w:styleId="11">
    <w:name w:val="1.1"/>
    <w:basedOn w:val="Normal"/>
    <w:uiPriority w:val="99"/>
    <w:rsid w:val="00C10710"/>
    <w:pPr>
      <w:spacing w:after="240"/>
      <w:ind w:left="850" w:hanging="425"/>
    </w:pPr>
    <w:rPr>
      <w:rFonts w:ascii="Söhne Halbfett" w:eastAsiaTheme="minorEastAsia" w:hAnsi="Söhne Halbfett" w:cs="Arial"/>
      <w:sz w:val="20"/>
      <w:szCs w:val="22"/>
      <w:lang w:val="en-GB" w:eastAsia="en-US"/>
    </w:rPr>
  </w:style>
  <w:style w:type="paragraph" w:customStyle="1" w:styleId="11Para">
    <w:name w:val="1.1_Para"/>
    <w:basedOn w:val="Normal"/>
    <w:uiPriority w:val="99"/>
    <w:rsid w:val="00C10710"/>
    <w:pPr>
      <w:spacing w:after="240"/>
      <w:ind w:left="851"/>
      <w:jc w:val="both"/>
    </w:pPr>
    <w:rPr>
      <w:rFonts w:ascii="Söhne" w:eastAsiaTheme="minorEastAsia" w:hAnsi="Söhne" w:cs="Arial"/>
      <w:sz w:val="18"/>
      <w:szCs w:val="18"/>
      <w:lang w:val="en-GB" w:eastAsia="en-US"/>
    </w:rPr>
  </w:style>
  <w:style w:type="paragraph" w:customStyle="1" w:styleId="111">
    <w:name w:val="1.1.1"/>
    <w:basedOn w:val="Normal"/>
    <w:uiPriority w:val="99"/>
    <w:qFormat/>
    <w:rsid w:val="00C10710"/>
    <w:pPr>
      <w:spacing w:after="120"/>
      <w:ind w:left="1418" w:hanging="567"/>
    </w:pPr>
    <w:rPr>
      <w:rFonts w:ascii="Söhne Kräftig" w:eastAsiaTheme="minorEastAsia" w:hAnsi="Söhne Kräftig" w:cs="Arial"/>
      <w:sz w:val="19"/>
      <w:szCs w:val="20"/>
      <w:lang w:val="en-GB" w:eastAsia="en-US"/>
    </w:rPr>
  </w:style>
  <w:style w:type="paragraph" w:customStyle="1" w:styleId="111Para">
    <w:name w:val="1.1.1_Para"/>
    <w:basedOn w:val="Normal"/>
    <w:qFormat/>
    <w:rsid w:val="00C10710"/>
    <w:pPr>
      <w:spacing w:after="240"/>
      <w:ind w:left="1418"/>
      <w:jc w:val="both"/>
    </w:pPr>
    <w:rPr>
      <w:rFonts w:ascii="Söhne" w:eastAsiaTheme="minorEastAsia" w:hAnsi="Söhne" w:cs="Arial"/>
      <w:sz w:val="18"/>
      <w:szCs w:val="18"/>
      <w:lang w:val="en-GB" w:eastAsia="en-US"/>
    </w:rPr>
  </w:style>
  <w:style w:type="paragraph" w:customStyle="1" w:styleId="ilast">
    <w:name w:val="i)_last"/>
    <w:basedOn w:val="Normal"/>
    <w:uiPriority w:val="99"/>
    <w:rsid w:val="00C10710"/>
    <w:pPr>
      <w:spacing w:after="240"/>
      <w:ind w:left="1843" w:hanging="425"/>
    </w:pPr>
    <w:rPr>
      <w:rFonts w:ascii="Arial" w:eastAsiaTheme="minorEastAsia" w:hAnsi="Arial" w:cs="Arial"/>
      <w:sz w:val="18"/>
      <w:szCs w:val="18"/>
      <w:lang w:val="en-GB" w:eastAsia="en-US"/>
    </w:rPr>
  </w:style>
  <w:style w:type="paragraph" w:customStyle="1" w:styleId="afourthlevel">
    <w:name w:val="a)_fourth_level"/>
    <w:basedOn w:val="Normal"/>
    <w:uiPriority w:val="99"/>
    <w:rsid w:val="00C10710"/>
    <w:pPr>
      <w:spacing w:after="120"/>
      <w:ind w:left="1843" w:hanging="425"/>
    </w:pPr>
    <w:rPr>
      <w:rFonts w:ascii="Söhne Kräftig" w:eastAsiaTheme="minorEastAsia" w:hAnsi="Söhne Kräftig" w:cs="Arial"/>
      <w:sz w:val="18"/>
      <w:szCs w:val="20"/>
      <w:lang w:val="en-GB" w:eastAsia="en-US"/>
    </w:rPr>
  </w:style>
  <w:style w:type="paragraph" w:customStyle="1" w:styleId="afourthpara">
    <w:name w:val="a)_fourth_para"/>
    <w:basedOn w:val="Normal"/>
    <w:uiPriority w:val="99"/>
    <w:rsid w:val="00C10710"/>
    <w:pPr>
      <w:spacing w:after="240"/>
      <w:ind w:left="1843"/>
      <w:jc w:val="both"/>
    </w:pPr>
    <w:rPr>
      <w:rFonts w:ascii="Söhne" w:eastAsiaTheme="minorEastAsia" w:hAnsi="Söhne" w:cs="Arial"/>
      <w:sz w:val="18"/>
      <w:szCs w:val="18"/>
      <w:lang w:val="en-GB" w:eastAsia="en-US"/>
    </w:rPr>
  </w:style>
  <w:style w:type="paragraph" w:customStyle="1" w:styleId="ififthlevel">
    <w:name w:val="i)_fifth_level"/>
    <w:basedOn w:val="Normal"/>
    <w:uiPriority w:val="99"/>
    <w:rsid w:val="00C10710"/>
    <w:pPr>
      <w:spacing w:after="120"/>
      <w:ind w:left="2268" w:hanging="425"/>
    </w:pPr>
    <w:rPr>
      <w:rFonts w:ascii="Ottawa" w:eastAsiaTheme="minorEastAsia" w:hAnsi="Ottawa" w:cs="Arial"/>
      <w:b/>
      <w:sz w:val="17"/>
      <w:szCs w:val="18"/>
      <w:lang w:val="en-GB" w:eastAsia="en-US"/>
    </w:rPr>
  </w:style>
  <w:style w:type="paragraph" w:customStyle="1" w:styleId="ififthpara">
    <w:name w:val="i)_fifth_para"/>
    <w:basedOn w:val="Normal"/>
    <w:uiPriority w:val="99"/>
    <w:rsid w:val="00C10710"/>
    <w:pPr>
      <w:spacing w:after="240"/>
      <w:ind w:left="1843"/>
      <w:jc w:val="both"/>
    </w:pPr>
    <w:rPr>
      <w:rFonts w:ascii="Söhne" w:eastAsiaTheme="minorEastAsia" w:hAnsi="Söhne" w:cs="Arial"/>
      <w:sz w:val="18"/>
      <w:szCs w:val="18"/>
      <w:lang w:val="en-GB" w:eastAsia="en-US"/>
    </w:rPr>
  </w:style>
  <w:style w:type="paragraph" w:customStyle="1" w:styleId="dotsixthlevel">
    <w:name w:val="dot_sixth_level"/>
    <w:basedOn w:val="Normal"/>
    <w:uiPriority w:val="99"/>
    <w:rsid w:val="00C10710"/>
    <w:pPr>
      <w:spacing w:after="120"/>
      <w:ind w:left="2268" w:hanging="425"/>
      <w:jc w:val="both"/>
    </w:pPr>
    <w:rPr>
      <w:rFonts w:ascii="Söhne" w:eastAsiaTheme="minorEastAsia" w:hAnsi="Söhne" w:cs="Arial"/>
      <w:sz w:val="18"/>
      <w:szCs w:val="18"/>
      <w:lang w:val="en-GB" w:eastAsia="en-US"/>
    </w:rPr>
  </w:style>
  <w:style w:type="paragraph" w:customStyle="1" w:styleId="dotsixthpara">
    <w:name w:val="dot_sixth_para"/>
    <w:basedOn w:val="Normal"/>
    <w:uiPriority w:val="99"/>
    <w:rsid w:val="00C10710"/>
    <w:pPr>
      <w:spacing w:after="240"/>
      <w:ind w:left="2268"/>
      <w:jc w:val="both"/>
    </w:pPr>
    <w:rPr>
      <w:rFonts w:ascii="Söhne" w:eastAsiaTheme="minorEastAsia" w:hAnsi="Söhne" w:cs="Arial"/>
      <w:sz w:val="18"/>
      <w:szCs w:val="18"/>
      <w:lang w:val="en-GB" w:eastAsia="en-US"/>
    </w:rPr>
  </w:style>
  <w:style w:type="paragraph" w:customStyle="1" w:styleId="ififthlevellist">
    <w:name w:val="i_fifth_level_list"/>
    <w:basedOn w:val="ififthpara"/>
    <w:uiPriority w:val="99"/>
    <w:rsid w:val="00C10710"/>
    <w:pPr>
      <w:spacing w:after="120"/>
      <w:ind w:hanging="425"/>
    </w:pPr>
  </w:style>
  <w:style w:type="character" w:customStyle="1" w:styleId="Heading1Char">
    <w:name w:val="Heading 1 Char"/>
    <w:basedOn w:val="DefaultParagraphFont"/>
    <w:link w:val="Heading1"/>
    <w:uiPriority w:val="99"/>
    <w:rsid w:val="005024E1"/>
    <w:rPr>
      <w:rFonts w:ascii="Arial" w:eastAsia="Times New Roman" w:hAnsi="Arial" w:cs="Arial"/>
      <w:b/>
      <w:bCs/>
      <w:sz w:val="24"/>
      <w:szCs w:val="24"/>
      <w:u w:val="single"/>
      <w:lang w:val="en-GB" w:eastAsia="en-GB"/>
    </w:rPr>
  </w:style>
  <w:style w:type="paragraph" w:styleId="BodyText">
    <w:name w:val="Body Text"/>
    <w:basedOn w:val="Normal"/>
    <w:link w:val="BodyTextChar"/>
    <w:uiPriority w:val="99"/>
    <w:rsid w:val="005024E1"/>
    <w:pPr>
      <w:tabs>
        <w:tab w:val="left" w:pos="-720"/>
      </w:tabs>
      <w:spacing w:after="120" w:line="360" w:lineRule="atLeast"/>
      <w:jc w:val="both"/>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uiPriority w:val="99"/>
    <w:rsid w:val="005024E1"/>
    <w:rPr>
      <w:rFonts w:ascii="Times New Roman" w:eastAsia="Times New Roman" w:hAnsi="Times New Roman"/>
      <w:sz w:val="20"/>
      <w:szCs w:val="20"/>
      <w:lang w:val="en-GB" w:eastAsia="en-GB"/>
    </w:rPr>
  </w:style>
  <w:style w:type="character" w:customStyle="1" w:styleId="apple-converted-space">
    <w:name w:val="apple-converted-space"/>
    <w:basedOn w:val="DefaultParagraphFont"/>
    <w:rsid w:val="006F1609"/>
  </w:style>
  <w:style w:type="character" w:styleId="Hyperlink">
    <w:name w:val="Hyperlink"/>
    <w:basedOn w:val="DefaultParagraphFont"/>
    <w:uiPriority w:val="99"/>
    <w:unhideWhenUsed/>
    <w:rsid w:val="00657A90"/>
    <w:rPr>
      <w:color w:val="0000FF" w:themeColor="hyperlink"/>
      <w:u w:val="single"/>
    </w:rPr>
  </w:style>
  <w:style w:type="paragraph" w:styleId="Revision">
    <w:name w:val="Revision"/>
    <w:hidden/>
    <w:uiPriority w:val="99"/>
    <w:semiHidden/>
    <w:rsid w:val="008B33EF"/>
    <w:rPr>
      <w:rFonts w:cs="Times"/>
      <w:sz w:val="24"/>
      <w:szCs w:val="24"/>
      <w:lang w:eastAsia="fr-FR"/>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1111">
    <w:name w:val="1.1.1.1"/>
    <w:basedOn w:val="Normal"/>
    <w:uiPriority w:val="99"/>
    <w:qFormat/>
    <w:rsid w:val="00C10710"/>
    <w:pPr>
      <w:spacing w:after="120"/>
      <w:ind w:left="1843" w:hanging="425"/>
    </w:pPr>
    <w:rPr>
      <w:rFonts w:ascii="Söhne Kräftig" w:eastAsiaTheme="minorEastAsia" w:hAnsi="Söhne Kräftig" w:cs="Arial"/>
      <w:sz w:val="18"/>
      <w:szCs w:val="18"/>
      <w:lang w:val="en-GB" w:eastAsia="en-US"/>
    </w:rPr>
  </w:style>
  <w:style w:type="paragraph" w:customStyle="1" w:styleId="11111">
    <w:name w:val="1.1.1.1.1"/>
    <w:basedOn w:val="Normal"/>
    <w:uiPriority w:val="99"/>
    <w:rsid w:val="00C10710"/>
    <w:pPr>
      <w:spacing w:after="120"/>
      <w:ind w:left="1588"/>
    </w:pPr>
    <w:rPr>
      <w:rFonts w:ascii="Söhne" w:eastAsiaTheme="minorEastAsia" w:hAnsi="Söhne" w:cs="Arial"/>
      <w:sz w:val="18"/>
      <w:szCs w:val="18"/>
      <w:lang w:val="en-GB" w:eastAsia="en-US"/>
    </w:rPr>
  </w:style>
  <w:style w:type="paragraph" w:customStyle="1" w:styleId="11ilist">
    <w:name w:val="1.1.i_list"/>
    <w:basedOn w:val="ListParagraph"/>
    <w:uiPriority w:val="99"/>
    <w:rsid w:val="00C10710"/>
    <w:pPr>
      <w:tabs>
        <w:tab w:val="left" w:pos="851"/>
      </w:tabs>
      <w:spacing w:after="120"/>
      <w:ind w:left="1276" w:hanging="425"/>
      <w:contextualSpacing w:val="0"/>
      <w:jc w:val="both"/>
    </w:pPr>
    <w:rPr>
      <w:rFonts w:ascii="Söhne" w:eastAsiaTheme="minorEastAsia" w:hAnsi="Söhne" w:cs="Arial"/>
      <w:sz w:val="18"/>
      <w:szCs w:val="18"/>
      <w:lang w:val="en-GB" w:eastAsia="en-US"/>
    </w:rPr>
  </w:style>
  <w:style w:type="paragraph" w:styleId="ListParagraph">
    <w:name w:val="List Paragraph"/>
    <w:basedOn w:val="Normal"/>
    <w:uiPriority w:val="34"/>
    <w:qFormat/>
    <w:rsid w:val="00C10710"/>
    <w:pPr>
      <w:ind w:left="720"/>
      <w:contextualSpacing/>
    </w:pPr>
  </w:style>
  <w:style w:type="paragraph" w:customStyle="1" w:styleId="1Para">
    <w:name w:val="1_Para"/>
    <w:basedOn w:val="Normal"/>
    <w:uiPriority w:val="99"/>
    <w:rsid w:val="00C10710"/>
    <w:pPr>
      <w:spacing w:after="240"/>
      <w:jc w:val="both"/>
    </w:pPr>
    <w:rPr>
      <w:rFonts w:ascii="Söhne" w:eastAsiaTheme="minorEastAsia" w:hAnsi="Söhne" w:cs="Arial"/>
      <w:sz w:val="18"/>
      <w:szCs w:val="18"/>
      <w:lang w:val="en-GB" w:eastAsia="en-US"/>
    </w:rPr>
  </w:style>
  <w:style w:type="paragraph" w:customStyle="1" w:styleId="Referencetitle">
    <w:name w:val="Reference_title"/>
    <w:basedOn w:val="Normal"/>
    <w:uiPriority w:val="99"/>
    <w:rsid w:val="00C10710"/>
    <w:pPr>
      <w:widowControl w:val="0"/>
      <w:tabs>
        <w:tab w:val="left" w:pos="-720"/>
        <w:tab w:val="left" w:pos="2410"/>
      </w:tabs>
      <w:spacing w:after="240"/>
      <w:jc w:val="center"/>
    </w:pPr>
    <w:rPr>
      <w:rFonts w:ascii="Söhne Halbfett" w:eastAsia="Times New Roman" w:hAnsi="Söhne Halbfett" w:cs="Times New Roman"/>
      <w:sz w:val="22"/>
      <w:szCs w:val="20"/>
      <w:lang w:val="en-GB"/>
    </w:rPr>
  </w:style>
  <w:style w:type="paragraph" w:customStyle="1" w:styleId="rfrences">
    <w:name w:val="références"/>
    <w:basedOn w:val="Normal"/>
    <w:link w:val="rfrencesChar"/>
    <w:rsid w:val="00C10710"/>
    <w:pPr>
      <w:spacing w:after="240"/>
      <w:jc w:val="both"/>
    </w:pPr>
    <w:rPr>
      <w:rFonts w:ascii="Söhne" w:eastAsia="Times New Roman" w:hAnsi="Söhne" w:cs="Times New Roman"/>
      <w:sz w:val="18"/>
      <w:szCs w:val="22"/>
      <w:lang w:val="fr-FR" w:bidi="en-US"/>
    </w:rPr>
  </w:style>
  <w:style w:type="character" w:customStyle="1" w:styleId="rfrencesChar">
    <w:name w:val="références Char"/>
    <w:link w:val="rfrences"/>
    <w:rsid w:val="00C10710"/>
    <w:rPr>
      <w:rFonts w:ascii="Söhne" w:eastAsia="Times New Roman" w:hAnsi="Söhne"/>
      <w:sz w:val="18"/>
      <w:lang w:val="fr-FR" w:eastAsia="fr-F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00132">
      <w:bodyDiv w:val="1"/>
      <w:marLeft w:val="0"/>
      <w:marRight w:val="0"/>
      <w:marTop w:val="0"/>
      <w:marBottom w:val="0"/>
      <w:divBdr>
        <w:top w:val="none" w:sz="0" w:space="0" w:color="auto"/>
        <w:left w:val="none" w:sz="0" w:space="0" w:color="auto"/>
        <w:bottom w:val="none" w:sz="0" w:space="0" w:color="auto"/>
        <w:right w:val="none" w:sz="0" w:space="0" w:color="auto"/>
      </w:divBdr>
    </w:div>
    <w:div w:id="1171263725">
      <w:bodyDiv w:val="1"/>
      <w:marLeft w:val="0"/>
      <w:marRight w:val="0"/>
      <w:marTop w:val="0"/>
      <w:marBottom w:val="0"/>
      <w:divBdr>
        <w:top w:val="none" w:sz="0" w:space="0" w:color="auto"/>
        <w:left w:val="none" w:sz="0" w:space="0" w:color="auto"/>
        <w:bottom w:val="none" w:sz="0" w:space="0" w:color="auto"/>
        <w:right w:val="none" w:sz="0" w:space="0" w:color="auto"/>
      </w:divBdr>
    </w:div>
    <w:div w:id="204960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offer/expertise-network/reference-laborator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A25C4-915A-4AE9-ADD3-E9C8EA91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51E01-AC77-46E5-8D20-60B77A72072A}">
  <ds:schemaRef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dd973180-a4c1-4e52-b4bc-58f54f6e421a"/>
    <ds:schemaRef ds:uri="2d8f2bc2-ce05-4280-abbb-a54dfdc4c8e8"/>
  </ds:schemaRefs>
</ds:datastoreItem>
</file>

<file path=customXml/itemProps3.xml><?xml version="1.0" encoding="utf-8"?>
<ds:datastoreItem xmlns:ds="http://schemas.openxmlformats.org/officeDocument/2006/customXml" ds:itemID="{7BE38744-8286-4197-8C58-114564151835}">
  <ds:schemaRefs>
    <ds:schemaRef ds:uri="http://schemas.microsoft.com/sharepoint/v3/contenttype/forms"/>
  </ds:schemaRefs>
</ds:datastoreItem>
</file>

<file path=customXml/itemProps4.xml><?xml version="1.0" encoding="utf-8"?>
<ds:datastoreItem xmlns:ds="http://schemas.openxmlformats.org/officeDocument/2006/customXml" ds:itemID="{D4F58993-142D-4CBF-A6AB-4C79A829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5517</Words>
  <Characters>30903</Characters>
  <Application>Microsoft Office Word</Application>
  <DocSecurity>4</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CHAPTER 2</vt:lpstr>
      <vt:lpstr>CHAPTER 2</vt:lpstr>
    </vt:vector>
  </TitlesOfParts>
  <Company>SVGE</Company>
  <LinksUpToDate>false</LinksUpToDate>
  <CharactersWithSpaces>36348</CharactersWithSpaces>
  <SharedDoc>false</SharedDoc>
  <HLinks>
    <vt:vector size="6" baseType="variant">
      <vt:variant>
        <vt:i4>196693</vt:i4>
      </vt:variant>
      <vt:variant>
        <vt:i4>0</vt:i4>
      </vt:variant>
      <vt:variant>
        <vt:i4>0</vt:i4>
      </vt:variant>
      <vt:variant>
        <vt:i4>5</vt:i4>
      </vt:variant>
      <vt:variant>
        <vt:lpwstr>https://www.woah.org/en/what-we-offer/expertise-network/reference-laboratories/</vt:lpwstr>
      </vt:variant>
      <vt:variant>
        <vt:lpwstr>ui-id-3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Fowlpox</dc:title>
  <dc:subject/>
  <dc:creator>Trial User</dc:creator>
  <cp:keywords/>
  <cp:lastModifiedBy>Egrie, Paul - MRP-APHIS</cp:lastModifiedBy>
  <cp:revision>2</cp:revision>
  <cp:lastPrinted>2022-02-13T01:16:00Z</cp:lastPrinted>
  <dcterms:created xsi:type="dcterms:W3CDTF">2023-04-10T10:33:00Z</dcterms:created>
  <dcterms:modified xsi:type="dcterms:W3CDTF">2023-04-10T10:33:00Z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0x01010064DB0BF52150DC4BA0EA570882AE60A4</vt:lpwstr>
  </property>
</Properties>
</file>