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196C" w14:textId="0232C31E" w:rsidR="00B40CBD" w:rsidRPr="00AA5E0A" w:rsidRDefault="00B40CBD" w:rsidP="005828E5">
      <w:pPr>
        <w:pStyle w:val="Chatperno"/>
        <w:rPr>
          <w:b/>
          <w:bCs/>
          <w:smallCaps/>
          <w:lang w:val="en-IE"/>
        </w:rPr>
      </w:pPr>
      <w:r w:rsidRPr="00AA5E0A">
        <w:rPr>
          <w:lang w:val="en-IE"/>
        </w:rPr>
        <w:t>section</w:t>
      </w:r>
      <w:r w:rsidRPr="00AA5E0A">
        <w:rPr>
          <w:smallCaps/>
          <w:lang w:val="en-IE"/>
        </w:rPr>
        <w:t xml:space="preserve"> </w:t>
      </w:r>
      <w:r w:rsidR="0080798C" w:rsidRPr="00AA5E0A">
        <w:rPr>
          <w:smallCaps/>
          <w:lang w:val="en-IE"/>
        </w:rPr>
        <w:t>3</w:t>
      </w:r>
      <w:r w:rsidRPr="00AA5E0A">
        <w:rPr>
          <w:smallCaps/>
          <w:lang w:val="en-IE"/>
        </w:rPr>
        <w:t>.1.</w:t>
      </w:r>
    </w:p>
    <w:p w14:paraId="59B4196D" w14:textId="77777777" w:rsidR="00B40CBD" w:rsidRPr="00AA5E0A" w:rsidRDefault="00B40CBD" w:rsidP="005828E5">
      <w:pPr>
        <w:pStyle w:val="Sectiontitle"/>
        <w:rPr>
          <w:rFonts w:ascii="Söhne Halbfett" w:hAnsi="Söhne Halbfett"/>
          <w:b w:val="0"/>
          <w:bCs w:val="0"/>
          <w:lang w:val="en-IE"/>
        </w:rPr>
      </w:pPr>
      <w:r w:rsidRPr="00AA5E0A">
        <w:rPr>
          <w:rFonts w:ascii="Söhne Halbfett" w:hAnsi="Söhne Halbfett"/>
          <w:b w:val="0"/>
          <w:bCs w:val="0"/>
          <w:lang w:val="en-IE"/>
        </w:rPr>
        <w:t>multiple species</w:t>
      </w:r>
    </w:p>
    <w:p w14:paraId="59B4196E" w14:textId="2CDAED99" w:rsidR="00B40CBD" w:rsidRPr="00AA5E0A" w:rsidRDefault="00B40CBD" w:rsidP="005828E5">
      <w:pPr>
        <w:pStyle w:val="Chatperno"/>
      </w:pPr>
      <w:r w:rsidRPr="00AA5E0A">
        <w:t xml:space="preserve">Chapter </w:t>
      </w:r>
      <w:r w:rsidR="0080798C" w:rsidRPr="00AA5E0A">
        <w:t>3</w:t>
      </w:r>
      <w:r w:rsidRPr="00AA5E0A">
        <w:t>.1.1.</w:t>
      </w:r>
    </w:p>
    <w:p w14:paraId="59B4196F" w14:textId="77777777" w:rsidR="00B40CBD" w:rsidRPr="00AA5E0A" w:rsidRDefault="00B40CBD" w:rsidP="00B36009">
      <w:pPr>
        <w:pStyle w:val="Chaptertitle"/>
        <w:pBdr>
          <w:bottom w:val="none" w:sz="0" w:space="0" w:color="auto"/>
        </w:pBdr>
        <w:rPr>
          <w:lang w:val="en-IE"/>
        </w:rPr>
      </w:pPr>
      <w:r w:rsidRPr="00AA5E0A">
        <w:rPr>
          <w:lang w:val="en-IE"/>
        </w:rPr>
        <w:t>anthrax</w:t>
      </w:r>
    </w:p>
    <w:p w14:paraId="59B41970" w14:textId="61A7CF7A" w:rsidR="00B40CBD" w:rsidRPr="00AA5E0A" w:rsidRDefault="00B40CBD" w:rsidP="00B15A97">
      <w:pPr>
        <w:pStyle w:val="Summarytitle"/>
        <w:rPr>
          <w:lang w:val="en-IE"/>
        </w:rPr>
      </w:pPr>
      <w:r w:rsidRPr="00AA5E0A">
        <w:rPr>
          <w:lang w:val="en-IE"/>
        </w:rPr>
        <w:t>SUMMARY</w:t>
      </w:r>
    </w:p>
    <w:p w14:paraId="59B41971" w14:textId="7EBE7106" w:rsidR="00B40CBD" w:rsidRPr="00AA5E0A" w:rsidRDefault="00280D14" w:rsidP="00666D22">
      <w:pPr>
        <w:pStyle w:val="sumtexte"/>
        <w:rPr>
          <w:lang w:val="en-IE"/>
        </w:rPr>
      </w:pPr>
      <w:r w:rsidRPr="00AA5E0A">
        <w:rPr>
          <w:b/>
          <w:bCs/>
          <w:lang w:val="en-IE"/>
        </w:rPr>
        <w:t xml:space="preserve">Description and importance </w:t>
      </w:r>
      <w:r w:rsidR="00B40CBD" w:rsidRPr="00AA5E0A">
        <w:rPr>
          <w:b/>
          <w:bCs/>
          <w:lang w:val="en-IE"/>
        </w:rPr>
        <w:t>of the disease</w:t>
      </w:r>
      <w:r w:rsidR="00B40CBD" w:rsidRPr="00AA5E0A">
        <w:rPr>
          <w:lang w:val="en-IE"/>
        </w:rPr>
        <w:t>: Anthrax is primarily a disease of herbivorous animals, although all mammals, including humans, and some avian species can contract it. Mortality can be very high, especially in herbivores. The aetiological agent is the spore-forming, Gram-positive rod-shaped bacterium,</w:t>
      </w:r>
      <w:r w:rsidR="005567AE" w:rsidRPr="00AA5E0A">
        <w:rPr>
          <w:lang w:val="en-IE"/>
        </w:rPr>
        <w:t xml:space="preserve"> </w:t>
      </w:r>
      <w:r w:rsidR="00B40CBD" w:rsidRPr="00AA5E0A">
        <w:rPr>
          <w:i w:val="0"/>
          <w:iCs w:val="0"/>
          <w:lang w:val="en-IE"/>
        </w:rPr>
        <w:t>Bacillus anthracis</w:t>
      </w:r>
      <w:r w:rsidR="00B40CBD" w:rsidRPr="00AA5E0A">
        <w:rPr>
          <w:lang w:val="en-IE"/>
        </w:rPr>
        <w:t>. The disease has world-wide distribution and is a zoonosis.</w:t>
      </w:r>
    </w:p>
    <w:p w14:paraId="59B41972" w14:textId="6B02F69A" w:rsidR="00B40CBD" w:rsidRPr="00AA5E0A" w:rsidRDefault="00B40CBD" w:rsidP="00F51B58">
      <w:pPr>
        <w:pStyle w:val="sumtexte"/>
        <w:rPr>
          <w:lang w:val="en-IE"/>
        </w:rPr>
      </w:pPr>
      <w:r w:rsidRPr="00AA5E0A">
        <w:rPr>
          <w:lang w:val="en-IE"/>
        </w:rPr>
        <w:t>The disease is mediated mainly</w:t>
      </w:r>
      <w:r w:rsidR="0075689C" w:rsidRPr="00AA5E0A">
        <w:rPr>
          <w:lang w:val="en-IE"/>
        </w:rPr>
        <w:t xml:space="preserve"> </w:t>
      </w:r>
      <w:r w:rsidRPr="00AA5E0A">
        <w:rPr>
          <w:lang w:val="en-IE"/>
        </w:rPr>
        <w:t xml:space="preserve">by exotoxins. </w:t>
      </w:r>
      <w:proofErr w:type="spellStart"/>
      <w:r w:rsidRPr="00AA5E0A">
        <w:rPr>
          <w:lang w:val="en-IE"/>
        </w:rPr>
        <w:t>Peracute</w:t>
      </w:r>
      <w:proofErr w:type="spellEnd"/>
      <w:r w:rsidRPr="00AA5E0A">
        <w:rPr>
          <w:lang w:val="en-IE"/>
        </w:rPr>
        <w:t xml:space="preserve">, acute, subacute and, rarely, chronic forms of the disease are reported. Ante-mortem clinical signs may be virtually absent in </w:t>
      </w:r>
      <w:proofErr w:type="spellStart"/>
      <w:r w:rsidRPr="00AA5E0A">
        <w:rPr>
          <w:lang w:val="en-IE"/>
        </w:rPr>
        <w:t>peracute</w:t>
      </w:r>
      <w:proofErr w:type="spellEnd"/>
      <w:r w:rsidRPr="00AA5E0A">
        <w:rPr>
          <w:lang w:val="en-IE"/>
        </w:rPr>
        <w:t xml:space="preserve"> and acute forms of the disease. Subacute disease may be accompanied by progressive fever, depression, inappetence, weakness, prostration and death. Acute, subacute, and chronic disease may show localised swelling and fever.</w:t>
      </w:r>
      <w:r w:rsidR="005567AE" w:rsidRPr="00AA5E0A">
        <w:rPr>
          <w:lang w:val="en-IE"/>
        </w:rPr>
        <w:t xml:space="preserve"> </w:t>
      </w:r>
      <w:r w:rsidRPr="00AA5E0A">
        <w:rPr>
          <w:lang w:val="en-IE"/>
        </w:rPr>
        <w:t>In chronic disease, the only sign may be enlarged lymph glands.</w:t>
      </w:r>
    </w:p>
    <w:p w14:paraId="59B41973" w14:textId="5B74F85C" w:rsidR="00B40CBD" w:rsidRPr="00AA5E0A" w:rsidRDefault="00B814DE" w:rsidP="00452DB1">
      <w:pPr>
        <w:pStyle w:val="sumtexte"/>
        <w:rPr>
          <w:b/>
          <w:bCs/>
          <w:lang w:val="en-IE"/>
        </w:rPr>
      </w:pPr>
      <w:r w:rsidRPr="00CE3856">
        <w:rPr>
          <w:b/>
          <w:bCs/>
          <w:highlight w:val="yellow"/>
          <w:u w:val="double"/>
          <w:lang w:val="en-IE"/>
        </w:rPr>
        <w:t>Detection and</w:t>
      </w:r>
      <w:r w:rsidR="006E0609" w:rsidRPr="7244F4CA">
        <w:rPr>
          <w:b/>
          <w:bCs/>
          <w:lang w:val="en-IE"/>
        </w:rPr>
        <w:t xml:space="preserve"> </w:t>
      </w:r>
      <w:r w:rsidR="00746C8A" w:rsidRPr="7244F4CA">
        <w:rPr>
          <w:b/>
          <w:bCs/>
          <w:lang w:val="en-IE"/>
        </w:rPr>
        <w:t xml:space="preserve">identification </w:t>
      </w:r>
      <w:r w:rsidR="00B40CBD" w:rsidRPr="7244F4CA">
        <w:rPr>
          <w:b/>
          <w:bCs/>
          <w:lang w:val="en-IE"/>
        </w:rPr>
        <w:t xml:space="preserve">of the agent: </w:t>
      </w:r>
      <w:r w:rsidR="00B40CBD" w:rsidRPr="7244F4CA">
        <w:rPr>
          <w:i w:val="0"/>
          <w:iCs w:val="0"/>
          <w:lang w:val="en-IE"/>
        </w:rPr>
        <w:t>Bacillus anthracis</w:t>
      </w:r>
      <w:r w:rsidR="00B40CBD" w:rsidRPr="7244F4CA">
        <w:rPr>
          <w:lang w:val="en-IE"/>
        </w:rPr>
        <w:t xml:space="preserve"> is readily isolated in relatively high numbers from blood or tissues of a recently dead animal that died of anthrax, and colony morphology of </w:t>
      </w:r>
      <w:r w:rsidR="00B40CBD" w:rsidRPr="7244F4CA">
        <w:rPr>
          <w:i w:val="0"/>
          <w:iCs w:val="0"/>
          <w:lang w:val="en-IE"/>
        </w:rPr>
        <w:t>B. anthracis</w:t>
      </w:r>
      <w:r w:rsidR="00B40CBD" w:rsidRPr="7244F4CA">
        <w:rPr>
          <w:lang w:val="en-IE"/>
        </w:rPr>
        <w:t xml:space="preserve"> is quite characteristic after overnight incubation on blood agar. The colony is relatively large, measuring approximately 0.3–0.5 cm in diameter. It is grey-white to white, non-haemolytic with a rough, ground-glass appearance and has a very tacky, </w:t>
      </w:r>
      <w:proofErr w:type="spellStart"/>
      <w:r w:rsidR="00B40CBD" w:rsidRPr="7244F4CA">
        <w:rPr>
          <w:lang w:val="en-IE"/>
        </w:rPr>
        <w:t>butyrous</w:t>
      </w:r>
      <w:proofErr w:type="spellEnd"/>
      <w:r w:rsidR="00B40CBD" w:rsidRPr="7244F4CA">
        <w:rPr>
          <w:lang w:val="en-IE"/>
        </w:rPr>
        <w:t xml:space="preserve"> consistency. The vegetative cells of </w:t>
      </w:r>
      <w:r w:rsidR="00B40CBD" w:rsidRPr="7244F4CA">
        <w:rPr>
          <w:i w:val="0"/>
          <w:iCs w:val="0"/>
          <w:lang w:val="en-IE"/>
        </w:rPr>
        <w:t>B. anthracis</w:t>
      </w:r>
      <w:r w:rsidR="00B40CBD" w:rsidRPr="7244F4CA">
        <w:rPr>
          <w:lang w:val="en-IE"/>
        </w:rPr>
        <w:t xml:space="preserve"> are large, measuring 3–5 µm in length and approximately 1 µm in width. Ellipsoidal central</w:t>
      </w:r>
      <w:r w:rsidR="005567AE" w:rsidRPr="7244F4CA">
        <w:rPr>
          <w:lang w:val="en-IE"/>
        </w:rPr>
        <w:t xml:space="preserve"> </w:t>
      </w:r>
      <w:r w:rsidR="00B40CBD" w:rsidRPr="7244F4CA">
        <w:rPr>
          <w:lang w:val="en-IE"/>
        </w:rPr>
        <w:t xml:space="preserve">spores, which do not swell the sporangium, are formed at the end of the exponential cell growth phase. The cells stain strongly Gram positive, and long chains are often seen </w:t>
      </w:r>
      <w:r w:rsidR="00B40CBD" w:rsidRPr="7244F4CA">
        <w:rPr>
          <w:i w:val="0"/>
          <w:iCs w:val="0"/>
          <w:lang w:val="en-IE"/>
        </w:rPr>
        <w:t>in vitro</w:t>
      </w:r>
      <w:r w:rsidR="00B40CBD" w:rsidRPr="7244F4CA">
        <w:rPr>
          <w:lang w:val="en-IE"/>
        </w:rPr>
        <w:t xml:space="preserve">, while paired or short chains are seen </w:t>
      </w:r>
      <w:r w:rsidR="00B40CBD" w:rsidRPr="7244F4CA">
        <w:rPr>
          <w:i w:val="0"/>
          <w:iCs w:val="0"/>
          <w:lang w:val="en-IE"/>
        </w:rPr>
        <w:t>in vivo</w:t>
      </w:r>
      <w:r w:rsidR="00B40CBD" w:rsidRPr="7244F4CA">
        <w:rPr>
          <w:lang w:val="en-IE"/>
        </w:rPr>
        <w:t>. Visualisation of the encapsulated bacilli, usually in large numbers, in a blood smear stained with</w:t>
      </w:r>
      <w:r w:rsidR="00B36009" w:rsidRPr="7244F4CA">
        <w:rPr>
          <w:lang w:val="en-IE"/>
        </w:rPr>
        <w:t xml:space="preserve"> </w:t>
      </w:r>
      <w:r w:rsidR="00B40CBD" w:rsidRPr="00CE3856">
        <w:rPr>
          <w:strike/>
          <w:highlight w:val="yellow"/>
          <w:lang w:val="en-IE"/>
        </w:rPr>
        <w:t xml:space="preserve">polychrome methylene blue </w:t>
      </w:r>
      <w:r w:rsidR="00B40CBD" w:rsidRPr="00CE3856">
        <w:rPr>
          <w:i w:val="0"/>
          <w:iCs w:val="0"/>
          <w:strike/>
          <w:highlight w:val="yellow"/>
          <w:lang w:val="en-IE"/>
        </w:rPr>
        <w:t>(</w:t>
      </w:r>
      <w:proofErr w:type="spellStart"/>
      <w:r w:rsidR="00B40CBD" w:rsidRPr="00CE3856">
        <w:rPr>
          <w:strike/>
          <w:highlight w:val="yellow"/>
          <w:lang w:val="en-IE"/>
        </w:rPr>
        <w:t>M’Fadyean</w:t>
      </w:r>
      <w:proofErr w:type="spellEnd"/>
      <w:r w:rsidR="00B40CBD" w:rsidRPr="00CE3856">
        <w:rPr>
          <w:strike/>
          <w:highlight w:val="yellow"/>
          <w:lang w:val="en-IE"/>
        </w:rPr>
        <w:t xml:space="preserve"> reaction</w:t>
      </w:r>
      <w:r w:rsidR="00B40CBD" w:rsidRPr="00CE3856">
        <w:rPr>
          <w:i w:val="0"/>
          <w:iCs w:val="0"/>
          <w:strike/>
          <w:highlight w:val="yellow"/>
          <w:lang w:val="en-IE"/>
        </w:rPr>
        <w:t>)</w:t>
      </w:r>
      <w:r w:rsidR="00B36009" w:rsidRPr="00CE3856">
        <w:rPr>
          <w:i w:val="0"/>
          <w:iCs w:val="0"/>
          <w:strike/>
          <w:highlight w:val="yellow"/>
          <w:lang w:val="en-IE"/>
        </w:rPr>
        <w:t xml:space="preserve"> </w:t>
      </w:r>
      <w:r w:rsidR="00D07240" w:rsidRPr="00CE3856">
        <w:rPr>
          <w:highlight w:val="yellow"/>
          <w:u w:val="double"/>
          <w:lang w:val="en-IE"/>
        </w:rPr>
        <w:t xml:space="preserve">azure B </w:t>
      </w:r>
      <w:r w:rsidR="00D07240" w:rsidRPr="00CE3856">
        <w:rPr>
          <w:i w:val="0"/>
          <w:iCs w:val="0"/>
          <w:strike/>
          <w:lang w:val="en-IE"/>
        </w:rPr>
        <w:t>(</w:t>
      </w:r>
      <w:proofErr w:type="spellStart"/>
      <w:r w:rsidR="00D07240" w:rsidRPr="00CE3856">
        <w:rPr>
          <w:strike/>
          <w:lang w:val="en-IE"/>
        </w:rPr>
        <w:t>M’Fadyean’s</w:t>
      </w:r>
      <w:proofErr w:type="spellEnd"/>
      <w:r w:rsidR="00D07240" w:rsidRPr="00CE3856">
        <w:rPr>
          <w:strike/>
          <w:lang w:val="en-IE"/>
        </w:rPr>
        <w:t xml:space="preserve"> reaction</w:t>
      </w:r>
      <w:r w:rsidR="00D07240" w:rsidRPr="00CE3856">
        <w:rPr>
          <w:i w:val="0"/>
          <w:iCs w:val="0"/>
          <w:strike/>
          <w:lang w:val="en-IE"/>
        </w:rPr>
        <w:t>)</w:t>
      </w:r>
      <w:r w:rsidR="00B40CBD" w:rsidRPr="00CE3856">
        <w:rPr>
          <w:strike/>
          <w:lang w:val="en-IE"/>
        </w:rPr>
        <w:t xml:space="preserve"> </w:t>
      </w:r>
      <w:r w:rsidR="004248D3" w:rsidRPr="00CE3856">
        <w:rPr>
          <w:highlight w:val="yellow"/>
          <w:u w:val="double"/>
          <w:lang w:val="en-IE"/>
        </w:rPr>
        <w:t xml:space="preserve">or </w:t>
      </w:r>
      <w:r w:rsidR="004D1A16" w:rsidRPr="00CE3856">
        <w:rPr>
          <w:highlight w:val="yellow"/>
          <w:u w:val="double"/>
          <w:lang w:val="en-IE"/>
        </w:rPr>
        <w:t xml:space="preserve">polychrome methylene blue </w:t>
      </w:r>
      <w:r w:rsidR="004D1A16" w:rsidRPr="00CE3856">
        <w:rPr>
          <w:i w:val="0"/>
          <w:iCs w:val="0"/>
          <w:highlight w:val="yellow"/>
          <w:u w:val="double"/>
          <w:lang w:val="en-IE"/>
        </w:rPr>
        <w:t>(</w:t>
      </w:r>
      <w:proofErr w:type="spellStart"/>
      <w:r w:rsidR="004D1A16" w:rsidRPr="00CE3856">
        <w:rPr>
          <w:highlight w:val="yellow"/>
          <w:u w:val="double"/>
          <w:lang w:val="en-IE"/>
        </w:rPr>
        <w:t>M’Fadyean</w:t>
      </w:r>
      <w:r w:rsidR="005F62CE" w:rsidRPr="00CE3856">
        <w:rPr>
          <w:highlight w:val="yellow"/>
          <w:u w:val="double"/>
          <w:lang w:val="en-IE"/>
        </w:rPr>
        <w:t>’s</w:t>
      </w:r>
      <w:proofErr w:type="spellEnd"/>
      <w:r w:rsidR="004D1A16" w:rsidRPr="00CE3856">
        <w:rPr>
          <w:highlight w:val="yellow"/>
          <w:u w:val="double"/>
          <w:lang w:val="en-IE"/>
        </w:rPr>
        <w:t xml:space="preserve"> reaction</w:t>
      </w:r>
      <w:r w:rsidR="004D1A16" w:rsidRPr="00CE3856">
        <w:rPr>
          <w:i w:val="0"/>
          <w:iCs w:val="0"/>
          <w:highlight w:val="yellow"/>
          <w:u w:val="double"/>
          <w:lang w:val="en-IE"/>
        </w:rPr>
        <w:t>)</w:t>
      </w:r>
      <w:r w:rsidR="00CE3856" w:rsidRPr="00CE3856">
        <w:rPr>
          <w:i w:val="0"/>
          <w:iCs w:val="0"/>
          <w:lang w:val="en-IE"/>
        </w:rPr>
        <w:t xml:space="preserve"> </w:t>
      </w:r>
      <w:r w:rsidR="00B40CBD" w:rsidRPr="7244F4CA">
        <w:rPr>
          <w:lang w:val="en-IE"/>
        </w:rPr>
        <w:t>is fully diagnostic.</w:t>
      </w:r>
    </w:p>
    <w:p w14:paraId="59B41974" w14:textId="77777777" w:rsidR="00B40CBD" w:rsidRPr="00AA5E0A" w:rsidRDefault="00B40CBD" w:rsidP="00F51B58">
      <w:pPr>
        <w:pStyle w:val="sumtexte"/>
        <w:rPr>
          <w:lang w:val="en-IE"/>
        </w:rPr>
      </w:pPr>
      <w:r w:rsidRPr="00AA5E0A">
        <w:rPr>
          <w:b/>
          <w:bCs/>
          <w:lang w:val="en-IE"/>
        </w:rPr>
        <w:t>Serological tests:</w:t>
      </w:r>
      <w:r w:rsidRPr="00AA5E0A">
        <w:rPr>
          <w:lang w:val="en-IE"/>
        </w:rPr>
        <w:t xml:space="preserve"> Antibody detection in serum from infected animals is rarely used for diagnostic purposes and is essentially a research tool. The predominant procedure used is the en</w:t>
      </w:r>
      <w:r w:rsidR="00E9755B" w:rsidRPr="00AA5E0A">
        <w:rPr>
          <w:lang w:val="en-IE"/>
        </w:rPr>
        <w:t>zyme-linked immunosorbent assay.</w:t>
      </w:r>
    </w:p>
    <w:p w14:paraId="59B41975" w14:textId="0C3095F3" w:rsidR="00B40CBD" w:rsidRPr="00AA5E0A" w:rsidRDefault="00B40CBD" w:rsidP="00F51B58">
      <w:pPr>
        <w:pStyle w:val="sumtextelastpara"/>
        <w:rPr>
          <w:lang w:val="en-IE"/>
        </w:rPr>
      </w:pPr>
      <w:r w:rsidRPr="00AA5E0A">
        <w:rPr>
          <w:b/>
          <w:bCs/>
          <w:lang w:val="en-IE"/>
        </w:rPr>
        <w:t>Requirements for vaccines:</w:t>
      </w:r>
      <w:r w:rsidRPr="00AA5E0A">
        <w:rPr>
          <w:lang w:val="en-IE"/>
        </w:rPr>
        <w:t xml:space="preserve"> The most widely used livestock anthrax vaccine developed by Max Sterne in 1937 is a live, non-encapsulated, spore former held in suspension. In Russia and Eastern </w:t>
      </w:r>
      <w:r w:rsidRPr="0008609F">
        <w:rPr>
          <w:strike/>
          <w:lang w:val="en-IE"/>
        </w:rPr>
        <w:t>Bloc countries</w:t>
      </w:r>
      <w:r w:rsidR="0008609F" w:rsidRPr="0008609F">
        <w:rPr>
          <w:strike/>
          <w:lang w:val="en-IE"/>
        </w:rPr>
        <w:t xml:space="preserve"> </w:t>
      </w:r>
      <w:r w:rsidR="0008609F" w:rsidRPr="0008609F">
        <w:rPr>
          <w:u w:val="double"/>
          <w:lang w:val="en-IE"/>
        </w:rPr>
        <w:t>Europe</w:t>
      </w:r>
      <w:r w:rsidRPr="00AA5E0A">
        <w:rPr>
          <w:lang w:val="en-IE"/>
        </w:rPr>
        <w:t xml:space="preserve">, an equivalent type of vaccine is used </w:t>
      </w:r>
      <w:r w:rsidRPr="00AA5E0A">
        <w:rPr>
          <w:i w:val="0"/>
          <w:iCs w:val="0"/>
          <w:lang w:val="en-IE"/>
        </w:rPr>
        <w:t>(</w:t>
      </w:r>
      <w:r w:rsidRPr="00AA5E0A">
        <w:rPr>
          <w:lang w:val="en-IE"/>
        </w:rPr>
        <w:t>strain 55</w:t>
      </w:r>
      <w:r w:rsidRPr="00AA5E0A">
        <w:rPr>
          <w:i w:val="0"/>
          <w:iCs w:val="0"/>
          <w:lang w:val="en-IE"/>
        </w:rPr>
        <w:t>)</w:t>
      </w:r>
      <w:r w:rsidRPr="00AA5E0A">
        <w:rPr>
          <w:lang w:val="en-IE"/>
        </w:rPr>
        <w:t>. A list of producers is given in the World Health Organization anthrax guidelines.</w:t>
      </w:r>
    </w:p>
    <w:p w14:paraId="59B41976" w14:textId="77777777" w:rsidR="00B40CBD" w:rsidRPr="00AA5E0A" w:rsidRDefault="00B40CBD" w:rsidP="005D428E">
      <w:pPr>
        <w:pStyle w:val="A0"/>
        <w:rPr>
          <w:lang w:val="en-IE"/>
        </w:rPr>
      </w:pPr>
      <w:r w:rsidRPr="00AA5E0A">
        <w:rPr>
          <w:lang w:val="en-IE"/>
        </w:rPr>
        <w:t>A.  introduction</w:t>
      </w:r>
    </w:p>
    <w:p w14:paraId="59B41977" w14:textId="77777777" w:rsidR="00B40CBD" w:rsidRPr="00AA5E0A" w:rsidRDefault="00B40CBD" w:rsidP="008E380B">
      <w:pPr>
        <w:pStyle w:val="paraA0"/>
        <w:rPr>
          <w:lang w:val="en-IE"/>
        </w:rPr>
      </w:pPr>
      <w:r w:rsidRPr="00AA5E0A">
        <w:rPr>
          <w:lang w:val="en-IE"/>
        </w:rPr>
        <w:t xml:space="preserve">Anthrax, an acute bacterial disease primarily of herbivores, is transmissible to humans. The aetiological agent, </w:t>
      </w:r>
      <w:r w:rsidRPr="00AA5E0A">
        <w:rPr>
          <w:i/>
          <w:iCs/>
          <w:lang w:val="en-IE"/>
        </w:rPr>
        <w:t>Bacillus anthracis</w:t>
      </w:r>
      <w:r w:rsidRPr="00AA5E0A">
        <w:rPr>
          <w:lang w:val="en-IE"/>
        </w:rPr>
        <w:t xml:space="preserve">, is a Gram-positive spore-forming rod-shaped bacterium. Anthrax is known by many names around the world including </w:t>
      </w:r>
      <w:proofErr w:type="spellStart"/>
      <w:r w:rsidRPr="00AA5E0A">
        <w:rPr>
          <w:lang w:val="en-IE"/>
        </w:rPr>
        <w:t>charbon</w:t>
      </w:r>
      <w:proofErr w:type="spellEnd"/>
      <w:r w:rsidRPr="00AA5E0A">
        <w:rPr>
          <w:lang w:val="en-IE"/>
        </w:rPr>
        <w:t xml:space="preserve">, </w:t>
      </w:r>
      <w:proofErr w:type="spellStart"/>
      <w:r w:rsidRPr="00AA5E0A">
        <w:rPr>
          <w:lang w:val="en-IE"/>
        </w:rPr>
        <w:t>woolsorters</w:t>
      </w:r>
      <w:proofErr w:type="spellEnd"/>
      <w:r w:rsidR="0056020E" w:rsidRPr="00AA5E0A">
        <w:rPr>
          <w:lang w:val="en-IE"/>
        </w:rPr>
        <w:t>’</w:t>
      </w:r>
      <w:r w:rsidRPr="00AA5E0A">
        <w:rPr>
          <w:lang w:val="en-IE"/>
        </w:rPr>
        <w:t xml:space="preserve"> disease, ragpickers</w:t>
      </w:r>
      <w:r w:rsidR="0056020E" w:rsidRPr="00AA5E0A">
        <w:rPr>
          <w:lang w:val="en-IE"/>
        </w:rPr>
        <w:t>’</w:t>
      </w:r>
      <w:r w:rsidRPr="00AA5E0A">
        <w:rPr>
          <w:lang w:val="en-IE"/>
        </w:rPr>
        <w:t xml:space="preserve"> disease, malignant carbuncle, malignant pustule</w:t>
      </w:r>
      <w:r w:rsidR="00152072" w:rsidRPr="00AA5E0A">
        <w:rPr>
          <w:lang w:val="en-IE"/>
        </w:rPr>
        <w:t xml:space="preserve"> </w:t>
      </w:r>
      <w:r w:rsidRPr="00AA5E0A">
        <w:rPr>
          <w:lang w:val="en-IE"/>
        </w:rPr>
        <w:t>and Siberian ulcer.</w:t>
      </w:r>
    </w:p>
    <w:p w14:paraId="3A8B5808" w14:textId="7F251764" w:rsidR="00B03EB0" w:rsidRPr="00CE3856" w:rsidRDefault="00B40CBD" w:rsidP="00280D14">
      <w:pPr>
        <w:pStyle w:val="paraA0"/>
        <w:rPr>
          <w:lang w:val="en-IE"/>
        </w:rPr>
      </w:pPr>
      <w:r w:rsidRPr="1DE93EB5">
        <w:rPr>
          <w:lang w:val="en-IE"/>
        </w:rPr>
        <w:t xml:space="preserve">Animals become infected by ingesting spores, or possibly by being bitten by </w:t>
      </w:r>
      <w:r w:rsidR="00550E50" w:rsidRPr="1DE93EB5">
        <w:rPr>
          <w:rFonts w:cs="Arial"/>
          <w:strike/>
          <w:highlight w:val="yellow"/>
          <w:lang w:val="en-IE"/>
        </w:rPr>
        <w:t>flies</w:t>
      </w:r>
      <w:r w:rsidR="00F000C5" w:rsidRPr="1DE93EB5">
        <w:rPr>
          <w:rFonts w:cs="Arial"/>
          <w:strike/>
          <w:highlight w:val="yellow"/>
          <w:lang w:val="en-IE"/>
        </w:rPr>
        <w:t xml:space="preserve"> </w:t>
      </w:r>
      <w:r w:rsidR="00550E50" w:rsidRPr="1DE93EB5">
        <w:rPr>
          <w:rFonts w:cs="Arial"/>
          <w:highlight w:val="yellow"/>
          <w:u w:val="double"/>
          <w:lang w:val="en-IE"/>
        </w:rPr>
        <w:t>blood feeding insects such as stable flies (</w:t>
      </w:r>
      <w:proofErr w:type="spellStart"/>
      <w:r w:rsidR="00550E50" w:rsidRPr="1DE93EB5">
        <w:rPr>
          <w:rFonts w:cs="Arial"/>
          <w:i/>
          <w:iCs/>
          <w:highlight w:val="yellow"/>
          <w:u w:val="double"/>
          <w:lang w:val="en-IE"/>
        </w:rPr>
        <w:t>Stomoxys</w:t>
      </w:r>
      <w:proofErr w:type="spellEnd"/>
      <w:r w:rsidR="00550E50" w:rsidRPr="1DE93EB5">
        <w:rPr>
          <w:rFonts w:cs="Arial"/>
          <w:i/>
          <w:iCs/>
          <w:highlight w:val="yellow"/>
          <w:u w:val="double"/>
          <w:lang w:val="en-IE"/>
        </w:rPr>
        <w:t xml:space="preserve"> </w:t>
      </w:r>
      <w:proofErr w:type="spellStart"/>
      <w:r w:rsidR="00550E50" w:rsidRPr="1DE93EB5">
        <w:rPr>
          <w:rFonts w:cs="Arial"/>
          <w:i/>
          <w:iCs/>
          <w:highlight w:val="yellow"/>
          <w:u w:val="double"/>
          <w:lang w:val="en-IE"/>
        </w:rPr>
        <w:t>calcitrans</w:t>
      </w:r>
      <w:proofErr w:type="spellEnd"/>
      <w:r w:rsidR="00550E50" w:rsidRPr="1DE93EB5">
        <w:rPr>
          <w:rFonts w:cs="Arial"/>
          <w:highlight w:val="yellow"/>
          <w:u w:val="double"/>
          <w:lang w:val="en-IE"/>
        </w:rPr>
        <w:t>) and mosquitoes (</w:t>
      </w:r>
      <w:r w:rsidR="00550E50" w:rsidRPr="1DE93EB5">
        <w:rPr>
          <w:rFonts w:cs="Arial"/>
          <w:i/>
          <w:iCs/>
          <w:highlight w:val="yellow"/>
          <w:u w:val="double"/>
          <w:lang w:val="en-IE"/>
        </w:rPr>
        <w:t>Aedes aegypti</w:t>
      </w:r>
      <w:r w:rsidR="00550E50" w:rsidRPr="1DE93EB5">
        <w:rPr>
          <w:rFonts w:cs="Arial"/>
          <w:highlight w:val="yellow"/>
          <w:u w:val="double"/>
          <w:lang w:val="en-IE"/>
        </w:rPr>
        <w:t xml:space="preserve"> and </w:t>
      </w:r>
      <w:r w:rsidR="00550E50" w:rsidRPr="1DE93EB5">
        <w:rPr>
          <w:rFonts w:cs="Arial"/>
          <w:i/>
          <w:iCs/>
          <w:highlight w:val="yellow"/>
          <w:u w:val="double"/>
          <w:lang w:val="en-IE"/>
        </w:rPr>
        <w:t xml:space="preserve">Aedes </w:t>
      </w:r>
      <w:proofErr w:type="spellStart"/>
      <w:r w:rsidR="00550E50" w:rsidRPr="1DE93EB5">
        <w:rPr>
          <w:rFonts w:cs="Arial"/>
          <w:i/>
          <w:iCs/>
          <w:highlight w:val="yellow"/>
          <w:u w:val="double"/>
          <w:lang w:val="en-IE"/>
        </w:rPr>
        <w:t>taeniorhynchus</w:t>
      </w:r>
      <w:proofErr w:type="spellEnd"/>
      <w:r w:rsidR="00550E50" w:rsidRPr="1DE93EB5">
        <w:rPr>
          <w:rFonts w:cs="Arial"/>
          <w:highlight w:val="yellow"/>
          <w:u w:val="double"/>
          <w:lang w:val="en-IE"/>
        </w:rPr>
        <w:t>)</w:t>
      </w:r>
      <w:r w:rsidR="006E0609" w:rsidRPr="1DE93EB5">
        <w:rPr>
          <w:rFonts w:cs="Arial"/>
          <w:lang w:val="en-IE"/>
        </w:rPr>
        <w:t xml:space="preserve"> </w:t>
      </w:r>
      <w:r w:rsidRPr="1DE93EB5">
        <w:rPr>
          <w:lang w:val="en-IE"/>
        </w:rPr>
        <w:t xml:space="preserve">that have fed on an </w:t>
      </w:r>
      <w:r w:rsidRPr="00CE3856">
        <w:rPr>
          <w:lang w:val="en-IE"/>
        </w:rPr>
        <w:t>infected animal or carcass. Infected animals are usually found dead as death can occur within 24 hours.</w:t>
      </w:r>
      <w:r w:rsidR="006E0609" w:rsidRPr="00CE3856">
        <w:rPr>
          <w:lang w:val="en-IE"/>
        </w:rPr>
        <w:t xml:space="preserve"> </w:t>
      </w:r>
      <w:r w:rsidR="003A6661" w:rsidRPr="003A6661">
        <w:rPr>
          <w:strike/>
          <w:highlight w:val="yellow"/>
          <w:lang w:val="en-IE"/>
        </w:rPr>
        <w:t>A careful post-mortem examination of recently dead animals may show any number of lesions, none of which is pathognomonic or entirely consistent.</w:t>
      </w:r>
      <w:r w:rsidR="003A6661" w:rsidRPr="003A6661">
        <w:rPr>
          <w:strike/>
          <w:lang w:val="en-IE"/>
        </w:rPr>
        <w:t xml:space="preserve"> </w:t>
      </w:r>
      <w:r w:rsidR="00566338" w:rsidRPr="003A6661">
        <w:rPr>
          <w:lang w:val="en-IE"/>
        </w:rPr>
        <w:t xml:space="preserve">To avoid </w:t>
      </w:r>
      <w:r w:rsidR="00566338" w:rsidRPr="003A6661">
        <w:rPr>
          <w:lang w:val="en-IE"/>
        </w:rPr>
        <w:lastRenderedPageBreak/>
        <w:t>environmental contamination</w:t>
      </w:r>
      <w:r w:rsidR="00524ED1" w:rsidRPr="003A6661">
        <w:rPr>
          <w:lang w:val="en-IE"/>
        </w:rPr>
        <w:t xml:space="preserve"> </w:t>
      </w:r>
      <w:r w:rsidR="00524ED1" w:rsidRPr="00CE3856">
        <w:rPr>
          <w:highlight w:val="yellow"/>
          <w:u w:val="double"/>
          <w:lang w:val="en-IE"/>
        </w:rPr>
        <w:t>with spores</w:t>
      </w:r>
      <w:r w:rsidR="00566338" w:rsidRPr="003A6661">
        <w:rPr>
          <w:u w:val="double"/>
          <w:lang w:val="en-IE"/>
        </w:rPr>
        <w:t>, post-mortem examinations of carcasses of animals suspected to have died of anthrax are discouraged</w:t>
      </w:r>
      <w:r w:rsidR="00851700" w:rsidRPr="003A6661">
        <w:rPr>
          <w:u w:val="double"/>
          <w:lang w:val="en-IE"/>
        </w:rPr>
        <w:t xml:space="preserve"> </w:t>
      </w:r>
      <w:r w:rsidR="00851700" w:rsidRPr="00CE3856">
        <w:rPr>
          <w:rStyle w:val="cf01"/>
          <w:rFonts w:ascii="Söhne" w:hAnsi="Söhne"/>
          <w:highlight w:val="yellow"/>
          <w:u w:val="double"/>
        </w:rPr>
        <w:t>and natural orifices such as mouth, nostril, should be closed to prevent the formation of spores</w:t>
      </w:r>
      <w:r w:rsidR="001524BC" w:rsidRPr="00CE3856">
        <w:rPr>
          <w:highlight w:val="yellow"/>
          <w:u w:val="double"/>
          <w:lang w:val="en-IE"/>
        </w:rPr>
        <w:t xml:space="preserve">. </w:t>
      </w:r>
      <w:r w:rsidR="00807C9B" w:rsidRPr="00CE3856">
        <w:rPr>
          <w:rFonts w:cs="Arial"/>
          <w:highlight w:val="yellow"/>
          <w:u w:val="double"/>
          <w:lang w:val="en-IE"/>
        </w:rPr>
        <w:t>T</w:t>
      </w:r>
      <w:r w:rsidR="001524BC" w:rsidRPr="00CE3856">
        <w:rPr>
          <w:rFonts w:cs="Arial"/>
          <w:highlight w:val="yellow"/>
          <w:u w:val="double"/>
          <w:lang w:val="en-IE"/>
        </w:rPr>
        <w:t xml:space="preserve">here are regulations in most countries </w:t>
      </w:r>
      <w:r w:rsidR="00037F62">
        <w:rPr>
          <w:rFonts w:cs="Arial"/>
          <w:highlight w:val="yellow"/>
          <w:u w:val="double"/>
          <w:lang w:val="en-IE"/>
        </w:rPr>
        <w:t>that</w:t>
      </w:r>
      <w:r w:rsidR="001524BC" w:rsidRPr="00CE3856">
        <w:rPr>
          <w:rFonts w:cs="Arial"/>
          <w:highlight w:val="yellow"/>
          <w:u w:val="double"/>
          <w:lang w:val="en-IE"/>
        </w:rPr>
        <w:t xml:space="preserve"> prohibit post-mortem examination when anthrax is </w:t>
      </w:r>
      <w:r w:rsidR="001524BC" w:rsidRPr="003A6661">
        <w:rPr>
          <w:rFonts w:cs="Arial"/>
          <w:highlight w:val="yellow"/>
          <w:u w:val="double"/>
          <w:lang w:val="en-IE"/>
        </w:rPr>
        <w:t>suspected.</w:t>
      </w:r>
      <w:r w:rsidR="00566338" w:rsidRPr="003A6661">
        <w:rPr>
          <w:highlight w:val="yellow"/>
          <w:u w:val="double"/>
          <w:lang w:val="en-IE"/>
        </w:rPr>
        <w:t xml:space="preserve"> </w:t>
      </w:r>
      <w:r w:rsidR="00F36DF6" w:rsidRPr="003A6661">
        <w:rPr>
          <w:highlight w:val="yellow"/>
          <w:u w:val="double"/>
          <w:lang w:val="en-IE"/>
        </w:rPr>
        <w:t>R</w:t>
      </w:r>
      <w:r w:rsidRPr="003A6661">
        <w:rPr>
          <w:highlight w:val="yellow"/>
          <w:u w:val="double"/>
          <w:lang w:val="en-IE"/>
        </w:rPr>
        <w:t>ecently dead animals may show any number of lesions, none of which is pathognomonic or entirely consistent</w:t>
      </w:r>
      <w:r w:rsidR="006E0609" w:rsidRPr="003A6661">
        <w:rPr>
          <w:highlight w:val="yellow"/>
          <w:u w:val="double"/>
          <w:lang w:val="en-IE"/>
        </w:rPr>
        <w:t>.</w:t>
      </w:r>
      <w:r w:rsidR="006E0609" w:rsidRPr="003A6661">
        <w:rPr>
          <w:u w:val="double"/>
          <w:lang w:val="en-IE"/>
        </w:rPr>
        <w:t xml:space="preserve"> </w:t>
      </w:r>
    </w:p>
    <w:p w14:paraId="59B41978" w14:textId="091D1C38" w:rsidR="00B40CBD" w:rsidRPr="00CE3856" w:rsidRDefault="00B40CBD" w:rsidP="00280D14">
      <w:pPr>
        <w:pStyle w:val="paraA0"/>
        <w:rPr>
          <w:lang w:val="en-IE"/>
        </w:rPr>
      </w:pPr>
      <w:r w:rsidRPr="00CE3856">
        <w:rPr>
          <w:lang w:val="en-IE"/>
        </w:rPr>
        <w:t xml:space="preserve">Lesions most commonly seen are those of a generalised septicaemia often accompanied by an enlarged spleen </w:t>
      </w:r>
      <w:r w:rsidR="00EF2EBC" w:rsidRPr="00CE3856">
        <w:rPr>
          <w:rFonts w:cs="Arial"/>
          <w:highlight w:val="yellow"/>
          <w:u w:val="double"/>
          <w:lang w:val="en-IE"/>
        </w:rPr>
        <w:t>with a dark semi-fluid pulp</w:t>
      </w:r>
      <w:r w:rsidR="00EF2EBC" w:rsidRPr="00CE3856">
        <w:rPr>
          <w:highlight w:val="yellow"/>
          <w:u w:val="double"/>
          <w:lang w:val="en-IE"/>
        </w:rPr>
        <w:t xml:space="preserve"> (</w:t>
      </w:r>
      <w:r w:rsidRPr="00CE3856">
        <w:rPr>
          <w:strike/>
          <w:highlight w:val="yellow"/>
          <w:lang w:val="en-IE"/>
        </w:rPr>
        <w:t>having a</w:t>
      </w:r>
      <w:r w:rsidRPr="00CE3856">
        <w:rPr>
          <w:strike/>
          <w:lang w:val="en-IE"/>
        </w:rPr>
        <w:t xml:space="preserve"> </w:t>
      </w:r>
      <w:r w:rsidRPr="00CE3856">
        <w:rPr>
          <w:lang w:val="en-IE"/>
        </w:rPr>
        <w:t>‘blackberry jam’ consistency</w:t>
      </w:r>
      <w:r w:rsidR="00EF2EBC" w:rsidRPr="00CE3856">
        <w:rPr>
          <w:highlight w:val="yellow"/>
          <w:u w:val="double"/>
          <w:lang w:val="en-IE"/>
        </w:rPr>
        <w:t>)</w:t>
      </w:r>
      <w:r w:rsidRPr="00CE3856">
        <w:rPr>
          <w:lang w:val="en-IE"/>
        </w:rPr>
        <w:t xml:space="preserve"> and poorly clotted blood. Haemorrhage from the nose, mouth, vagina and/or anus at death may be found.</w:t>
      </w:r>
    </w:p>
    <w:p w14:paraId="59B41979" w14:textId="77777777" w:rsidR="00B40CBD" w:rsidRPr="00AA5E0A" w:rsidRDefault="00B40CBD" w:rsidP="00280D14">
      <w:pPr>
        <w:pStyle w:val="paraA0"/>
        <w:rPr>
          <w:lang w:val="en-IE"/>
        </w:rPr>
      </w:pPr>
      <w:r w:rsidRPr="00AA5E0A">
        <w:rPr>
          <w:lang w:val="en-IE"/>
        </w:rPr>
        <w:t xml:space="preserve">Gram-positive rod-shaped </w:t>
      </w:r>
      <w:r w:rsidRPr="00AA5E0A">
        <w:rPr>
          <w:i/>
          <w:iCs/>
          <w:lang w:val="en-IE"/>
        </w:rPr>
        <w:t>B</w:t>
      </w:r>
      <w:r w:rsidR="006E4A91" w:rsidRPr="00AA5E0A">
        <w:rPr>
          <w:i/>
          <w:iCs/>
          <w:lang w:val="en-IE"/>
        </w:rPr>
        <w:t>. </w:t>
      </w:r>
      <w:r w:rsidRPr="00AA5E0A">
        <w:rPr>
          <w:i/>
          <w:iCs/>
          <w:lang w:val="en-IE"/>
        </w:rPr>
        <w:t>anthracis</w:t>
      </w:r>
      <w:r w:rsidR="005567AE" w:rsidRPr="00AA5E0A">
        <w:rPr>
          <w:i/>
          <w:iCs/>
          <w:lang w:val="en-IE"/>
        </w:rPr>
        <w:t xml:space="preserve"> </w:t>
      </w:r>
      <w:r w:rsidRPr="00AA5E0A">
        <w:rPr>
          <w:lang w:val="en-IE"/>
        </w:rPr>
        <w:t>is</w:t>
      </w:r>
      <w:r w:rsidR="005567AE" w:rsidRPr="00AA5E0A">
        <w:rPr>
          <w:lang w:val="en-IE"/>
        </w:rPr>
        <w:t xml:space="preserve"> </w:t>
      </w:r>
      <w:r w:rsidRPr="00AA5E0A">
        <w:rPr>
          <w:lang w:val="en-IE"/>
        </w:rPr>
        <w:t>an</w:t>
      </w:r>
      <w:r w:rsidR="00152072" w:rsidRPr="00AA5E0A">
        <w:rPr>
          <w:lang w:val="en-IE"/>
        </w:rPr>
        <w:t xml:space="preserve"> </w:t>
      </w:r>
      <w:r w:rsidRPr="00AA5E0A">
        <w:rPr>
          <w:lang w:val="en-IE"/>
        </w:rPr>
        <w:t>obligate pathogen</w:t>
      </w:r>
      <w:r w:rsidRPr="00AA5E0A">
        <w:rPr>
          <w:i/>
          <w:iCs/>
          <w:lang w:val="en-IE"/>
        </w:rPr>
        <w:t xml:space="preserve">. </w:t>
      </w:r>
      <w:r w:rsidRPr="00AA5E0A">
        <w:rPr>
          <w:lang w:val="en-IE"/>
        </w:rPr>
        <w:t xml:space="preserve">Most of the other species of </w:t>
      </w:r>
      <w:r w:rsidRPr="00AA5E0A">
        <w:rPr>
          <w:i/>
          <w:iCs/>
          <w:lang w:val="en-IE"/>
        </w:rPr>
        <w:t xml:space="preserve">Bacillus </w:t>
      </w:r>
      <w:r w:rsidRPr="00AA5E0A">
        <w:rPr>
          <w:lang w:val="en-IE"/>
        </w:rPr>
        <w:t xml:space="preserve">are common ubiquitous environmental saprophytes, although a number, notably </w:t>
      </w:r>
      <w:r w:rsidRPr="00AA5E0A">
        <w:rPr>
          <w:i/>
          <w:iCs/>
          <w:lang w:val="en-IE"/>
        </w:rPr>
        <w:t>B. cereus, B. licheniformis</w:t>
      </w:r>
      <w:r w:rsidRPr="00AA5E0A">
        <w:rPr>
          <w:lang w:val="en-IE"/>
        </w:rPr>
        <w:t xml:space="preserve"> and </w:t>
      </w:r>
      <w:r w:rsidRPr="00AA5E0A">
        <w:rPr>
          <w:i/>
          <w:iCs/>
          <w:lang w:val="en-IE"/>
        </w:rPr>
        <w:t>B. subtilis</w:t>
      </w:r>
      <w:r w:rsidRPr="00AA5E0A">
        <w:rPr>
          <w:lang w:val="en-IE"/>
        </w:rPr>
        <w:t>, are occasionally associated with food poisoning in humans and with other clinical manifestations in both humans and animals.</w:t>
      </w:r>
    </w:p>
    <w:p w14:paraId="59B4197A" w14:textId="77777777" w:rsidR="00B40CBD" w:rsidRPr="00AA5E0A" w:rsidRDefault="00C93E44" w:rsidP="00D63ACB">
      <w:pPr>
        <w:pStyle w:val="1"/>
        <w:spacing w:after="200"/>
      </w:pPr>
      <w:r w:rsidRPr="00AA5E0A">
        <w:t>1.</w:t>
      </w:r>
      <w:r w:rsidR="00D16C96" w:rsidRPr="00AA5E0A">
        <w:tab/>
      </w:r>
      <w:r w:rsidR="00B40CBD" w:rsidRPr="00AA5E0A">
        <w:t>Zoonotic risk and biosafety requirements</w:t>
      </w:r>
    </w:p>
    <w:p w14:paraId="59B4197B" w14:textId="4C97E575" w:rsidR="00B40CBD" w:rsidRPr="00AA5E0A" w:rsidRDefault="00B40CBD" w:rsidP="00D63ACB">
      <w:pPr>
        <w:pStyle w:val="para1"/>
        <w:spacing w:after="200"/>
        <w:rPr>
          <w:lang w:val="en-IE"/>
        </w:rPr>
      </w:pPr>
      <w:r w:rsidRPr="00AA5E0A">
        <w:rPr>
          <w:lang w:val="en-IE"/>
        </w:rPr>
        <w:t xml:space="preserve">More than 95% of human anthrax cases take the cutaneous form and result from handling infected carcasses or hides, hair, meat or bones from such carcasses. </w:t>
      </w:r>
      <w:r w:rsidRPr="00AA5E0A">
        <w:rPr>
          <w:i/>
          <w:iCs/>
          <w:lang w:val="en-IE"/>
        </w:rPr>
        <w:t>Bacillus anthracis</w:t>
      </w:r>
      <w:r w:rsidRPr="00AA5E0A">
        <w:rPr>
          <w:lang w:val="en-IE"/>
        </w:rPr>
        <w:t xml:space="preserve"> is not invasive and requires a lesion to infect. Protection for </w:t>
      </w:r>
      <w:r w:rsidRPr="00C106AA">
        <w:rPr>
          <w:lang w:val="en-IE"/>
        </w:rPr>
        <w:t>veterinarians and other animal handlers involves wearing gloves and other protective clothing</w:t>
      </w:r>
      <w:r w:rsidR="00BE7ACA">
        <w:rPr>
          <w:lang w:val="en-IE"/>
        </w:rPr>
        <w:t xml:space="preserve"> </w:t>
      </w:r>
      <w:r w:rsidR="00BE336C" w:rsidRPr="00BE7ACA">
        <w:rPr>
          <w:highlight w:val="yellow"/>
          <w:u w:val="double"/>
          <w:lang w:val="en-IE"/>
        </w:rPr>
        <w:t xml:space="preserve">(including full personal protective equipment </w:t>
      </w:r>
      <w:r w:rsidR="003210C9">
        <w:rPr>
          <w:highlight w:val="yellow"/>
          <w:u w:val="double"/>
          <w:lang w:val="en-IE"/>
        </w:rPr>
        <w:t>[</w:t>
      </w:r>
      <w:r w:rsidR="00BE336C" w:rsidRPr="00BE7ACA">
        <w:rPr>
          <w:highlight w:val="yellow"/>
          <w:u w:val="double"/>
          <w:lang w:val="en-IE"/>
        </w:rPr>
        <w:t>PPE</w:t>
      </w:r>
      <w:r w:rsidR="003210C9">
        <w:rPr>
          <w:highlight w:val="yellow"/>
          <w:u w:val="double"/>
          <w:lang w:val="en-IE"/>
        </w:rPr>
        <w:t>]</w:t>
      </w:r>
      <w:r w:rsidR="00BE336C" w:rsidRPr="00BE7ACA">
        <w:rPr>
          <w:highlight w:val="yellow"/>
          <w:u w:val="double"/>
          <w:lang w:val="en-IE"/>
        </w:rPr>
        <w:t xml:space="preserve"> depending on the situation)</w:t>
      </w:r>
      <w:r w:rsidR="00BE7ACA">
        <w:rPr>
          <w:lang w:val="en-IE"/>
        </w:rPr>
        <w:t xml:space="preserve"> </w:t>
      </w:r>
      <w:r w:rsidRPr="00C106AA">
        <w:rPr>
          <w:lang w:val="en-IE"/>
        </w:rPr>
        <w:t>when handling specimens from suspected anthrax carcasses and never rubbing the face or eyes. The risk of gastrointestinal anthrax may arise if individuals eat meat from animals infected</w:t>
      </w:r>
      <w:r w:rsidRPr="00AA5E0A">
        <w:rPr>
          <w:lang w:val="en-IE"/>
        </w:rPr>
        <w:t xml:space="preserve"> with anthrax.</w:t>
      </w:r>
    </w:p>
    <w:p w14:paraId="59B4197C" w14:textId="77777777" w:rsidR="00B40CBD" w:rsidRPr="00AA5E0A" w:rsidRDefault="00B40CBD" w:rsidP="00D63ACB">
      <w:pPr>
        <w:pStyle w:val="para1"/>
        <w:spacing w:after="200"/>
        <w:rPr>
          <w:lang w:val="en-IE"/>
        </w:rPr>
      </w:pPr>
      <w:r w:rsidRPr="00AA5E0A">
        <w:rPr>
          <w:lang w:val="en-IE"/>
        </w:rPr>
        <w:t xml:space="preserve">The risk of inhaling infectious doses becomes significant in occupations involving the processing of animal by-products for manufacturing goods (industrial anthrax). These include the tanning, woollen, animal hair, carpet, bone processing, and other such industries, where the potential for </w:t>
      </w:r>
      <w:proofErr w:type="spellStart"/>
      <w:r w:rsidRPr="00AA5E0A">
        <w:rPr>
          <w:lang w:val="en-IE"/>
        </w:rPr>
        <w:t>aerosolisation</w:t>
      </w:r>
      <w:proofErr w:type="spellEnd"/>
      <w:r w:rsidRPr="00AA5E0A">
        <w:rPr>
          <w:lang w:val="en-IE"/>
        </w:rPr>
        <w:t xml:space="preserve"> of substantial numbers of spores increases the risk of exposure to infectious doses.</w:t>
      </w:r>
      <w:r w:rsidR="00152072" w:rsidRPr="00AA5E0A">
        <w:rPr>
          <w:lang w:val="en-IE"/>
        </w:rPr>
        <w:t xml:space="preserve"> </w:t>
      </w:r>
      <w:r w:rsidRPr="00AA5E0A">
        <w:rPr>
          <w:lang w:val="en-IE"/>
        </w:rPr>
        <w:t>It is important that industrial workers use appropriate personal protective clothing and equipment</w:t>
      </w:r>
      <w:r w:rsidR="00152072" w:rsidRPr="00AA5E0A">
        <w:rPr>
          <w:lang w:val="en-IE"/>
        </w:rPr>
        <w:t xml:space="preserve"> </w:t>
      </w:r>
      <w:r w:rsidRPr="00AA5E0A">
        <w:rPr>
          <w:lang w:val="en-IE"/>
        </w:rPr>
        <w:t>and follow standard operating procedures</w:t>
      </w:r>
      <w:r w:rsidR="00152072" w:rsidRPr="00AA5E0A">
        <w:rPr>
          <w:lang w:val="en-IE"/>
        </w:rPr>
        <w:t xml:space="preserve"> </w:t>
      </w:r>
      <w:r w:rsidRPr="00AA5E0A">
        <w:rPr>
          <w:lang w:val="en-IE"/>
        </w:rPr>
        <w:t>that minimise the risk of transmission. Efficient air extraction equipment should be positioned over picking, combing, carding and spinning machines. Air blowing machinery should never be used for cleaning equipment due to the risk of spore dispersal.</w:t>
      </w:r>
    </w:p>
    <w:p w14:paraId="59B4197D" w14:textId="6BBB62B6" w:rsidR="00B40CBD" w:rsidRPr="00AA5E0A" w:rsidRDefault="00B40CBD" w:rsidP="00D63ACB">
      <w:pPr>
        <w:pStyle w:val="para1"/>
        <w:rPr>
          <w:lang w:val="en-IE"/>
        </w:rPr>
      </w:pPr>
      <w:r w:rsidRPr="00AA5E0A">
        <w:rPr>
          <w:lang w:val="en-IE"/>
        </w:rPr>
        <w:t xml:space="preserve">Clinical specimens and cultures of </w:t>
      </w:r>
      <w:r w:rsidRPr="00AA5E0A">
        <w:rPr>
          <w:i/>
          <w:iCs/>
          <w:lang w:val="en-IE"/>
        </w:rPr>
        <w:t>B. anthracis</w:t>
      </w:r>
      <w:r w:rsidRPr="00AA5E0A">
        <w:rPr>
          <w:lang w:val="en-IE"/>
        </w:rPr>
        <w:t xml:space="preserve"> should be handled </w:t>
      </w:r>
      <w:r w:rsidR="001506C8" w:rsidRPr="00AA5E0A">
        <w:t xml:space="preserve">with appropriate biosafety and containment procedures as determined by </w:t>
      </w:r>
      <w:proofErr w:type="spellStart"/>
      <w:r w:rsidR="001506C8" w:rsidRPr="00AA5E0A">
        <w:t>biorisk</w:t>
      </w:r>
      <w:proofErr w:type="spellEnd"/>
      <w:r w:rsidR="001506C8" w:rsidRPr="00AA5E0A">
        <w:t xml:space="preserve"> analysis (see Chapter 1.1.4 </w:t>
      </w:r>
      <w:r w:rsidR="001506C8" w:rsidRPr="00AA5E0A">
        <w:rPr>
          <w:i/>
        </w:rPr>
        <w:t>Biosafety and biosecurity: Standard for managing biological risk in the veterinary laboratory and animal facilities</w:t>
      </w:r>
      <w:r w:rsidR="001506C8" w:rsidRPr="00AA5E0A">
        <w:t>)</w:t>
      </w:r>
      <w:r w:rsidRPr="00AA5E0A">
        <w:t>. Vaccination of laboratory personnel is recommended.</w:t>
      </w:r>
    </w:p>
    <w:p w14:paraId="59B4197E" w14:textId="77777777" w:rsidR="00B40CBD" w:rsidRPr="00AA5E0A" w:rsidRDefault="00B40CBD" w:rsidP="00B36009">
      <w:pPr>
        <w:pStyle w:val="A0"/>
        <w:rPr>
          <w:lang w:val="en-IE"/>
        </w:rPr>
      </w:pPr>
      <w:r w:rsidRPr="00AA5E0A">
        <w:rPr>
          <w:lang w:val="en-IE"/>
        </w:rPr>
        <w:t>B.  diagnostic techniques</w:t>
      </w:r>
    </w:p>
    <w:p w14:paraId="59B4197F" w14:textId="77777777" w:rsidR="00926A59" w:rsidRPr="00AA5E0A" w:rsidRDefault="00926A59" w:rsidP="00B36009">
      <w:pPr>
        <w:pStyle w:val="Tabletitle"/>
      </w:pPr>
      <w:r w:rsidRPr="00AA5E0A">
        <w:t xml:space="preserve">Table 1. </w:t>
      </w:r>
      <w:r w:rsidRPr="00AA5E0A">
        <w:rPr>
          <w:b w:val="0"/>
          <w:bCs w:val="0"/>
        </w:rPr>
        <w:t xml:space="preserve">Test methods available </w:t>
      </w:r>
      <w:r w:rsidR="00161756" w:rsidRPr="00AA5E0A">
        <w:rPr>
          <w:b w:val="0"/>
          <w:bCs w:val="0"/>
        </w:rPr>
        <w:t xml:space="preserve">for the diagnosis of anthrax </w:t>
      </w:r>
      <w:r w:rsidRPr="00AA5E0A">
        <w:rPr>
          <w:b w:val="0"/>
          <w:bCs w:val="0"/>
        </w:rPr>
        <w:t>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926A59" w:rsidRPr="00AA5E0A" w14:paraId="59B41982" w14:textId="77777777" w:rsidTr="2922EC39">
        <w:trPr>
          <w:trHeight w:val="402"/>
          <w:tblHeader/>
          <w:jc w:val="center"/>
        </w:trPr>
        <w:tc>
          <w:tcPr>
            <w:tcW w:w="1264" w:type="dxa"/>
            <w:vMerge w:val="restart"/>
            <w:vAlign w:val="center"/>
          </w:tcPr>
          <w:p w14:paraId="59B41980" w14:textId="77777777" w:rsidR="00926A59" w:rsidRPr="00AA5E0A" w:rsidRDefault="00926A59" w:rsidP="00D63ACB">
            <w:pPr>
              <w:pStyle w:val="TableHead"/>
              <w:spacing w:before="60" w:after="60"/>
              <w:rPr>
                <w:rFonts w:ascii="Söhne Kräftig" w:hAnsi="Söhne Kräftig" w:cs="Arial"/>
                <w:b w:val="0"/>
                <w:bCs w:val="0"/>
                <w:lang w:val="en-GB"/>
              </w:rPr>
            </w:pPr>
            <w:r w:rsidRPr="00AA5E0A">
              <w:rPr>
                <w:rFonts w:ascii="Söhne Kräftig" w:hAnsi="Söhne Kräftig" w:cs="Arial"/>
                <w:b w:val="0"/>
                <w:bCs w:val="0"/>
                <w:lang w:val="en-GB"/>
              </w:rPr>
              <w:t>Method</w:t>
            </w:r>
          </w:p>
        </w:tc>
        <w:tc>
          <w:tcPr>
            <w:tcW w:w="7783" w:type="dxa"/>
            <w:gridSpan w:val="6"/>
            <w:vAlign w:val="center"/>
          </w:tcPr>
          <w:p w14:paraId="59B41981"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lang w:val="en-GB"/>
              </w:rPr>
              <w:t>Purpose</w:t>
            </w:r>
          </w:p>
        </w:tc>
      </w:tr>
      <w:tr w:rsidR="00926A59" w:rsidRPr="00AA5E0A" w14:paraId="59B4198A" w14:textId="77777777" w:rsidTr="2922EC39">
        <w:trPr>
          <w:trHeight w:val="402"/>
          <w:tblHeader/>
          <w:jc w:val="center"/>
        </w:trPr>
        <w:tc>
          <w:tcPr>
            <w:tcW w:w="1264" w:type="dxa"/>
            <w:vMerge/>
            <w:vAlign w:val="center"/>
          </w:tcPr>
          <w:p w14:paraId="59B41983" w14:textId="77777777" w:rsidR="00926A59" w:rsidRPr="00AA5E0A" w:rsidRDefault="00926A59" w:rsidP="00D63ACB">
            <w:pPr>
              <w:pStyle w:val="TableHead"/>
              <w:spacing w:before="60" w:after="60"/>
              <w:rPr>
                <w:rFonts w:ascii="Söhne Kräftig" w:hAnsi="Söhne Kräftig" w:cs="Arial"/>
                <w:b w:val="0"/>
                <w:bCs w:val="0"/>
                <w:sz w:val="16"/>
                <w:szCs w:val="16"/>
                <w:lang w:val="en-GB"/>
              </w:rPr>
            </w:pPr>
          </w:p>
        </w:tc>
        <w:tc>
          <w:tcPr>
            <w:tcW w:w="1134" w:type="dxa"/>
            <w:vAlign w:val="center"/>
          </w:tcPr>
          <w:p w14:paraId="59B41984"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Population freedom from infection</w:t>
            </w:r>
          </w:p>
        </w:tc>
        <w:tc>
          <w:tcPr>
            <w:tcW w:w="1418" w:type="dxa"/>
            <w:vAlign w:val="center"/>
          </w:tcPr>
          <w:p w14:paraId="59B41985"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Individual animal freedom from infection prior to movement</w:t>
            </w:r>
          </w:p>
        </w:tc>
        <w:tc>
          <w:tcPr>
            <w:tcW w:w="1275" w:type="dxa"/>
            <w:vAlign w:val="center"/>
          </w:tcPr>
          <w:p w14:paraId="59B41986"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Contribute to eradication policies</w:t>
            </w:r>
          </w:p>
        </w:tc>
        <w:tc>
          <w:tcPr>
            <w:tcW w:w="1134" w:type="dxa"/>
            <w:vAlign w:val="center"/>
          </w:tcPr>
          <w:p w14:paraId="59B41987"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Confirmation of clinical cases</w:t>
            </w:r>
          </w:p>
        </w:tc>
        <w:tc>
          <w:tcPr>
            <w:tcW w:w="1134" w:type="dxa"/>
            <w:vAlign w:val="center"/>
          </w:tcPr>
          <w:p w14:paraId="59B41988"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Prevalence of infection – surveillance</w:t>
            </w:r>
          </w:p>
        </w:tc>
        <w:tc>
          <w:tcPr>
            <w:tcW w:w="1688" w:type="dxa"/>
            <w:vAlign w:val="center"/>
          </w:tcPr>
          <w:p w14:paraId="59B41989" w14:textId="77777777" w:rsidR="00926A59" w:rsidRPr="00AA5E0A" w:rsidRDefault="00926A59" w:rsidP="00D63ACB">
            <w:pPr>
              <w:pStyle w:val="Tabletext"/>
              <w:spacing w:before="60" w:after="60"/>
              <w:rPr>
                <w:rFonts w:ascii="Söhne Kräftig" w:hAnsi="Söhne Kräftig"/>
                <w:sz w:val="16"/>
                <w:szCs w:val="16"/>
                <w:lang w:val="en-GB"/>
              </w:rPr>
            </w:pPr>
            <w:r w:rsidRPr="00AA5E0A">
              <w:rPr>
                <w:rFonts w:ascii="Söhne Kräftig" w:hAnsi="Söhne Kräftig"/>
                <w:sz w:val="16"/>
                <w:szCs w:val="16"/>
                <w:lang w:val="en-GB"/>
              </w:rPr>
              <w:t>Immune status in individual animals or populations post-vaccination</w:t>
            </w:r>
          </w:p>
        </w:tc>
      </w:tr>
      <w:tr w:rsidR="00926A59" w:rsidRPr="00AA5E0A" w14:paraId="59B4198C" w14:textId="77777777" w:rsidTr="2922EC39">
        <w:trPr>
          <w:trHeight w:val="402"/>
          <w:jc w:val="center"/>
        </w:trPr>
        <w:tc>
          <w:tcPr>
            <w:tcW w:w="9047" w:type="dxa"/>
            <w:gridSpan w:val="7"/>
            <w:shd w:val="clear" w:color="auto" w:fill="auto"/>
            <w:vAlign w:val="center"/>
          </w:tcPr>
          <w:p w14:paraId="59B4198B" w14:textId="4531A55C" w:rsidR="00926A59" w:rsidRPr="00AA5E0A" w:rsidRDefault="00937658" w:rsidP="00D63ACB">
            <w:pPr>
              <w:pStyle w:val="Tabletext"/>
              <w:spacing w:before="60" w:after="60"/>
              <w:rPr>
                <w:rFonts w:ascii="Söhne Kräftig" w:hAnsi="Söhne Kräftig"/>
                <w:sz w:val="16"/>
                <w:szCs w:val="16"/>
                <w:lang w:val="en-GB"/>
              </w:rPr>
            </w:pPr>
            <w:r w:rsidRPr="00AA5E0A">
              <w:rPr>
                <w:rFonts w:ascii="Söhne Kräftig" w:hAnsi="Söhne Kräftig"/>
                <w:sz w:val="16"/>
                <w:szCs w:val="16"/>
              </w:rPr>
              <w:t xml:space="preserve">Identification </w:t>
            </w:r>
            <w:r w:rsidR="00D266E0" w:rsidRPr="00AA5E0A">
              <w:rPr>
                <w:rFonts w:ascii="Söhne Kräftig" w:hAnsi="Söhne Kräftig"/>
                <w:sz w:val="16"/>
                <w:szCs w:val="16"/>
              </w:rPr>
              <w:t>of the a</w:t>
            </w:r>
            <w:r w:rsidR="00926A59" w:rsidRPr="00AA5E0A">
              <w:rPr>
                <w:rFonts w:ascii="Söhne Kräftig" w:hAnsi="Söhne Kräftig"/>
                <w:sz w:val="16"/>
                <w:szCs w:val="16"/>
              </w:rPr>
              <w:t>gent</w:t>
            </w:r>
            <w:r w:rsidR="00800AC0" w:rsidRPr="00AA5E0A">
              <w:rPr>
                <w:rFonts w:ascii="Söhne Kräftig" w:hAnsi="Söhne Kräftig"/>
                <w:sz w:val="16"/>
                <w:szCs w:val="16"/>
                <w:vertAlign w:val="superscript"/>
              </w:rPr>
              <w:t>(a)</w:t>
            </w:r>
          </w:p>
        </w:tc>
      </w:tr>
      <w:tr w:rsidR="00AF7DB4" w:rsidRPr="00AA5E0A" w14:paraId="59B41994" w14:textId="77777777" w:rsidTr="2922EC39">
        <w:trPr>
          <w:trHeight w:val="402"/>
          <w:jc w:val="center"/>
        </w:trPr>
        <w:tc>
          <w:tcPr>
            <w:tcW w:w="1264" w:type="dxa"/>
            <w:vAlign w:val="center"/>
          </w:tcPr>
          <w:p w14:paraId="59B4198D" w14:textId="77777777" w:rsidR="00AF7DB4" w:rsidRPr="00AA5E0A" w:rsidRDefault="00AF7DB4" w:rsidP="00D63ACB">
            <w:pPr>
              <w:spacing w:before="60" w:after="60" w:line="240" w:lineRule="auto"/>
              <w:jc w:val="center"/>
              <w:rPr>
                <w:rFonts w:ascii="Söhne Kräftig" w:hAnsi="Söhne Kräftig" w:cs="Arial"/>
                <w:b/>
                <w:bCs/>
                <w:sz w:val="16"/>
                <w:szCs w:val="16"/>
              </w:rPr>
            </w:pPr>
            <w:r w:rsidRPr="00AA5E0A">
              <w:rPr>
                <w:rFonts w:ascii="Söhne Kräftig" w:hAnsi="Söhne Kräftig" w:cs="Arial"/>
                <w:sz w:val="16"/>
                <w:szCs w:val="16"/>
              </w:rPr>
              <w:t>Demonstration of capsule</w:t>
            </w:r>
          </w:p>
        </w:tc>
        <w:tc>
          <w:tcPr>
            <w:tcW w:w="1134" w:type="dxa"/>
            <w:vAlign w:val="center"/>
          </w:tcPr>
          <w:p w14:paraId="59B4198E" w14:textId="32604BE4"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418" w:type="dxa"/>
            <w:vAlign w:val="center"/>
          </w:tcPr>
          <w:p w14:paraId="59B4198F" w14:textId="0B96D94B"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275" w:type="dxa"/>
            <w:vAlign w:val="center"/>
          </w:tcPr>
          <w:p w14:paraId="59B41990" w14:textId="60AFA9E7"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91" w14:textId="77777777" w:rsidR="00AF7DB4" w:rsidRPr="00AA5E0A" w:rsidRDefault="00EA54C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92" w14:textId="38162C66"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688" w:type="dxa"/>
            <w:vAlign w:val="center"/>
          </w:tcPr>
          <w:p w14:paraId="59B41993" w14:textId="5C9D3145"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r>
      <w:tr w:rsidR="00AF7DB4" w:rsidRPr="00AA5E0A" w14:paraId="59B4199C" w14:textId="77777777" w:rsidTr="2922EC39">
        <w:trPr>
          <w:trHeight w:val="402"/>
          <w:jc w:val="center"/>
        </w:trPr>
        <w:tc>
          <w:tcPr>
            <w:tcW w:w="1264" w:type="dxa"/>
            <w:vAlign w:val="center"/>
          </w:tcPr>
          <w:p w14:paraId="59B41995" w14:textId="77777777" w:rsidR="00AF7DB4" w:rsidRPr="00AA5E0A" w:rsidRDefault="00AF7DB4" w:rsidP="00D63ACB">
            <w:pPr>
              <w:spacing w:before="60" w:after="60" w:line="240" w:lineRule="auto"/>
              <w:jc w:val="center"/>
              <w:rPr>
                <w:rFonts w:ascii="Söhne Kräftig" w:hAnsi="Söhne Kräftig" w:cs="Arial"/>
                <w:sz w:val="16"/>
                <w:szCs w:val="16"/>
              </w:rPr>
            </w:pPr>
            <w:r w:rsidRPr="00AA5E0A">
              <w:rPr>
                <w:rFonts w:ascii="Söhne Kräftig" w:hAnsi="Söhne Kräftig" w:cs="Arial"/>
                <w:sz w:val="16"/>
                <w:szCs w:val="16"/>
              </w:rPr>
              <w:t>Demonstration of lack of motility</w:t>
            </w:r>
          </w:p>
        </w:tc>
        <w:tc>
          <w:tcPr>
            <w:tcW w:w="1134" w:type="dxa"/>
            <w:vAlign w:val="center"/>
          </w:tcPr>
          <w:p w14:paraId="59B41996" w14:textId="372960E5"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418" w:type="dxa"/>
            <w:vAlign w:val="center"/>
          </w:tcPr>
          <w:p w14:paraId="59B41997" w14:textId="74A1BE16"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275" w:type="dxa"/>
            <w:vAlign w:val="center"/>
          </w:tcPr>
          <w:p w14:paraId="59B41998" w14:textId="199A7931"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99" w14:textId="77777777" w:rsidR="00AF7DB4" w:rsidRPr="00AA5E0A" w:rsidRDefault="00EA54C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9A" w14:textId="5A3A5776"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688" w:type="dxa"/>
            <w:vAlign w:val="center"/>
          </w:tcPr>
          <w:p w14:paraId="59B4199B" w14:textId="50DA6407"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r>
      <w:tr w:rsidR="00AF7DB4" w:rsidRPr="00AA5E0A" w14:paraId="59B419A4" w14:textId="77777777" w:rsidTr="2922EC39">
        <w:trPr>
          <w:trHeight w:val="402"/>
          <w:jc w:val="center"/>
        </w:trPr>
        <w:tc>
          <w:tcPr>
            <w:tcW w:w="1264" w:type="dxa"/>
            <w:vAlign w:val="center"/>
          </w:tcPr>
          <w:p w14:paraId="59B4199D" w14:textId="77777777" w:rsidR="00AF7DB4" w:rsidRPr="00AA5E0A" w:rsidRDefault="00AF7DB4" w:rsidP="00D63ACB">
            <w:pPr>
              <w:spacing w:before="60" w:after="60" w:line="240" w:lineRule="auto"/>
              <w:jc w:val="center"/>
              <w:rPr>
                <w:rFonts w:ascii="Söhne Kräftig" w:hAnsi="Söhne Kräftig" w:cs="Arial"/>
                <w:b/>
                <w:bCs/>
                <w:sz w:val="16"/>
                <w:szCs w:val="16"/>
              </w:rPr>
            </w:pPr>
            <w:r w:rsidRPr="00AA5E0A">
              <w:rPr>
                <w:rFonts w:ascii="Söhne Kräftig" w:hAnsi="Söhne Kräftig" w:cs="Arial"/>
                <w:sz w:val="16"/>
                <w:szCs w:val="16"/>
              </w:rPr>
              <w:t>Gamma phage lysis</w:t>
            </w:r>
          </w:p>
        </w:tc>
        <w:tc>
          <w:tcPr>
            <w:tcW w:w="1134" w:type="dxa"/>
            <w:vAlign w:val="center"/>
          </w:tcPr>
          <w:p w14:paraId="59B4199E" w14:textId="5486FD07"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418" w:type="dxa"/>
            <w:vAlign w:val="center"/>
          </w:tcPr>
          <w:p w14:paraId="59B4199F" w14:textId="4C02D264"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275" w:type="dxa"/>
            <w:vAlign w:val="center"/>
          </w:tcPr>
          <w:p w14:paraId="59B419A0" w14:textId="064EEDA5"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A1" w14:textId="77777777" w:rsidR="00AF7DB4" w:rsidRPr="00AA5E0A" w:rsidRDefault="00EA54C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A2" w14:textId="0F6D6439"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688" w:type="dxa"/>
            <w:vAlign w:val="center"/>
          </w:tcPr>
          <w:p w14:paraId="59B419A3" w14:textId="1494684D"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r>
      <w:tr w:rsidR="00AF7DB4" w:rsidRPr="00AA5E0A" w14:paraId="59B419AC" w14:textId="77777777" w:rsidTr="2922EC39">
        <w:trPr>
          <w:trHeight w:val="402"/>
          <w:jc w:val="center"/>
        </w:trPr>
        <w:tc>
          <w:tcPr>
            <w:tcW w:w="1264" w:type="dxa"/>
            <w:vAlign w:val="center"/>
          </w:tcPr>
          <w:p w14:paraId="59B419A5" w14:textId="77777777" w:rsidR="00AF7DB4" w:rsidRPr="00AA5E0A" w:rsidRDefault="00AF7DB4" w:rsidP="00D63ACB">
            <w:pPr>
              <w:spacing w:before="60" w:after="60" w:line="240" w:lineRule="auto"/>
              <w:jc w:val="center"/>
              <w:rPr>
                <w:rFonts w:ascii="Söhne Kräftig" w:hAnsi="Söhne Kräftig" w:cs="Arial"/>
                <w:b/>
                <w:bCs/>
                <w:sz w:val="16"/>
                <w:szCs w:val="16"/>
              </w:rPr>
            </w:pPr>
            <w:r w:rsidRPr="00AA5E0A">
              <w:rPr>
                <w:rFonts w:ascii="Söhne Kräftig" w:hAnsi="Söhne Kräftig" w:cs="Arial"/>
                <w:sz w:val="16"/>
                <w:szCs w:val="16"/>
              </w:rPr>
              <w:t>Penicillin susceptibility</w:t>
            </w:r>
          </w:p>
        </w:tc>
        <w:tc>
          <w:tcPr>
            <w:tcW w:w="1134" w:type="dxa"/>
            <w:vAlign w:val="center"/>
          </w:tcPr>
          <w:p w14:paraId="59B419A6" w14:textId="5EE5CBD3"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418" w:type="dxa"/>
            <w:vAlign w:val="center"/>
          </w:tcPr>
          <w:p w14:paraId="59B419A7" w14:textId="355F4C0C"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275" w:type="dxa"/>
            <w:vAlign w:val="center"/>
          </w:tcPr>
          <w:p w14:paraId="59B419A8" w14:textId="0F9B1700"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A9" w14:textId="77777777" w:rsidR="00AF7DB4" w:rsidRPr="00AA5E0A" w:rsidRDefault="00EA54C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AA" w14:textId="3C4A61C4"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688" w:type="dxa"/>
            <w:vAlign w:val="center"/>
          </w:tcPr>
          <w:p w14:paraId="59B419AB" w14:textId="5DDB4A49"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r>
      <w:tr w:rsidR="00AF7DB4" w:rsidRPr="00AA5E0A" w14:paraId="59B419B4" w14:textId="77777777" w:rsidTr="2922EC39">
        <w:trPr>
          <w:trHeight w:val="402"/>
          <w:jc w:val="center"/>
        </w:trPr>
        <w:tc>
          <w:tcPr>
            <w:tcW w:w="1264" w:type="dxa"/>
            <w:vAlign w:val="center"/>
          </w:tcPr>
          <w:p w14:paraId="59B419AD" w14:textId="77777777" w:rsidR="00AF7DB4" w:rsidRPr="00AA5E0A" w:rsidRDefault="00EA54C0" w:rsidP="00D63ACB">
            <w:pPr>
              <w:spacing w:before="60" w:after="60" w:line="240" w:lineRule="auto"/>
              <w:jc w:val="center"/>
              <w:rPr>
                <w:rFonts w:ascii="Söhne Kräftig" w:hAnsi="Söhne Kräftig" w:cs="Arial"/>
                <w:sz w:val="16"/>
                <w:szCs w:val="16"/>
              </w:rPr>
            </w:pPr>
            <w:r w:rsidRPr="00FB0127">
              <w:rPr>
                <w:rFonts w:ascii="Söhne Kräftig" w:hAnsi="Söhne Kräftig" w:cs="Arial"/>
                <w:strike/>
                <w:sz w:val="16"/>
                <w:szCs w:val="16"/>
              </w:rPr>
              <w:t>Real-</w:t>
            </w:r>
            <w:r w:rsidR="00AF7DB4" w:rsidRPr="00FB0127">
              <w:rPr>
                <w:rFonts w:ascii="Söhne Kräftig" w:hAnsi="Söhne Kräftig" w:cs="Arial"/>
                <w:strike/>
                <w:sz w:val="16"/>
                <w:szCs w:val="16"/>
              </w:rPr>
              <w:t xml:space="preserve">time </w:t>
            </w:r>
            <w:r w:rsidR="00AF7DB4" w:rsidRPr="2922EC39">
              <w:rPr>
                <w:rFonts w:ascii="Söhne Kräftig" w:hAnsi="Söhne Kräftig" w:cs="Arial"/>
                <w:sz w:val="16"/>
                <w:szCs w:val="16"/>
              </w:rPr>
              <w:t>PCR</w:t>
            </w:r>
          </w:p>
        </w:tc>
        <w:tc>
          <w:tcPr>
            <w:tcW w:w="1134" w:type="dxa"/>
            <w:vAlign w:val="center"/>
          </w:tcPr>
          <w:p w14:paraId="59B419AE" w14:textId="4A9DB3A8"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418" w:type="dxa"/>
            <w:vAlign w:val="center"/>
          </w:tcPr>
          <w:p w14:paraId="59B419AF" w14:textId="300B50F5"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275" w:type="dxa"/>
            <w:vAlign w:val="center"/>
          </w:tcPr>
          <w:p w14:paraId="59B419B0" w14:textId="1783B28B"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134" w:type="dxa"/>
            <w:vAlign w:val="center"/>
          </w:tcPr>
          <w:p w14:paraId="59B419B1" w14:textId="232A5269" w:rsidR="00AF7DB4" w:rsidRPr="00AA5E0A" w:rsidRDefault="00EA54C0" w:rsidP="00D63ACB">
            <w:pPr>
              <w:pStyle w:val="Tabletext"/>
              <w:spacing w:before="60" w:after="60"/>
              <w:rPr>
                <w:rFonts w:ascii="Söhne" w:hAnsi="Söhne"/>
                <w:sz w:val="16"/>
                <w:szCs w:val="16"/>
                <w:lang w:val="en-GB"/>
              </w:rPr>
            </w:pPr>
            <w:r w:rsidRPr="00AA5E0A">
              <w:rPr>
                <w:rFonts w:ascii="Söhne" w:hAnsi="Söhne"/>
                <w:sz w:val="16"/>
                <w:szCs w:val="16"/>
                <w:lang w:val="en-GB"/>
              </w:rPr>
              <w:t>+</w:t>
            </w:r>
            <w:r w:rsidR="00112952" w:rsidRPr="00BE7ACA">
              <w:rPr>
                <w:rFonts w:ascii="Söhne" w:hAnsi="Söhne"/>
                <w:sz w:val="16"/>
                <w:szCs w:val="16"/>
                <w:highlight w:val="yellow"/>
                <w:u w:val="double"/>
                <w:lang w:val="en-GB"/>
              </w:rPr>
              <w:t>+</w:t>
            </w:r>
          </w:p>
        </w:tc>
        <w:tc>
          <w:tcPr>
            <w:tcW w:w="1134" w:type="dxa"/>
            <w:vAlign w:val="center"/>
          </w:tcPr>
          <w:p w14:paraId="59B419B2" w14:textId="77777777" w:rsidR="00AF7DB4" w:rsidRPr="00AA5E0A" w:rsidRDefault="00E67AFC" w:rsidP="00D63ACB">
            <w:pPr>
              <w:pStyle w:val="Tabletext"/>
              <w:spacing w:before="60" w:after="60"/>
              <w:rPr>
                <w:rFonts w:ascii="Söhne" w:hAnsi="Söhne"/>
                <w:sz w:val="16"/>
                <w:szCs w:val="16"/>
                <w:lang w:val="en-GB"/>
              </w:rPr>
            </w:pPr>
            <w:r w:rsidRPr="00AA5E0A">
              <w:rPr>
                <w:rFonts w:ascii="Söhne" w:hAnsi="Söhne"/>
                <w:sz w:val="16"/>
                <w:szCs w:val="16"/>
                <w:lang w:val="en-GB"/>
              </w:rPr>
              <w:t>+++/++</w:t>
            </w:r>
          </w:p>
        </w:tc>
        <w:tc>
          <w:tcPr>
            <w:tcW w:w="1688" w:type="dxa"/>
            <w:vAlign w:val="center"/>
          </w:tcPr>
          <w:p w14:paraId="59B419B3" w14:textId="7276C9E1" w:rsidR="00AF7DB4" w:rsidRPr="00AA5E0A" w:rsidRDefault="00D266E0" w:rsidP="00D63ACB">
            <w:pPr>
              <w:pStyle w:val="Tabletext"/>
              <w:spacing w:before="60" w:after="60"/>
              <w:rPr>
                <w:rFonts w:ascii="Söhne" w:hAnsi="Söhne"/>
                <w:sz w:val="16"/>
                <w:szCs w:val="16"/>
                <w:lang w:val="en-GB"/>
              </w:rPr>
            </w:pPr>
            <w:r w:rsidRPr="00AA5E0A">
              <w:rPr>
                <w:rFonts w:ascii="Söhne" w:hAnsi="Söhne"/>
                <w:sz w:val="16"/>
                <w:szCs w:val="16"/>
                <w:lang w:val="en-GB"/>
              </w:rPr>
              <w:t>–</w:t>
            </w:r>
          </w:p>
        </w:tc>
      </w:tr>
    </w:tbl>
    <w:p w14:paraId="59B419B5" w14:textId="47BC404C" w:rsidR="00926A59" w:rsidRPr="00AA5E0A" w:rsidRDefault="00D266E0" w:rsidP="00D266E0">
      <w:pPr>
        <w:pStyle w:val="PlainText"/>
        <w:spacing w:before="120" w:after="240"/>
        <w:jc w:val="center"/>
        <w:rPr>
          <w:rFonts w:ascii="Söhne" w:hAnsi="Söhne" w:cs="Arial"/>
          <w:b/>
          <w:bCs/>
          <w:sz w:val="16"/>
          <w:szCs w:val="16"/>
        </w:rPr>
      </w:pPr>
      <w:r w:rsidRPr="00AA5E0A">
        <w:rPr>
          <w:rFonts w:ascii="Söhne" w:hAnsi="Söhne" w:cs="Arial"/>
          <w:color w:val="000000"/>
          <w:sz w:val="16"/>
          <w:szCs w:val="16"/>
        </w:rPr>
        <w:t xml:space="preserve">Key: +++ = recommended for this purpose; ++ recommended but has limitations; </w:t>
      </w:r>
      <w:r w:rsidRPr="00AA5E0A">
        <w:rPr>
          <w:rFonts w:ascii="Söhne" w:hAnsi="Söhne" w:cs="Arial"/>
          <w:color w:val="000000"/>
          <w:sz w:val="16"/>
          <w:szCs w:val="16"/>
        </w:rPr>
        <w:br/>
        <w:t>+ = suitable in very limited circumstances</w:t>
      </w:r>
      <w:r w:rsidRPr="00AA5E0A">
        <w:rPr>
          <w:rFonts w:ascii="Söhne" w:hAnsi="Söhne" w:cs="Arial"/>
          <w:sz w:val="16"/>
          <w:szCs w:val="16"/>
        </w:rPr>
        <w:t xml:space="preserve">; </w:t>
      </w:r>
      <w:r w:rsidRPr="00AA5E0A">
        <w:rPr>
          <w:rFonts w:ascii="Söhne" w:hAnsi="Söhne" w:cs="Arial"/>
          <w:color w:val="000000"/>
          <w:sz w:val="16"/>
          <w:szCs w:val="16"/>
        </w:rPr>
        <w:t>– = not appropriate for this purpose.</w:t>
      </w:r>
      <w:r w:rsidR="00926A59" w:rsidRPr="00AA5E0A">
        <w:rPr>
          <w:rFonts w:ascii="Söhne" w:hAnsi="Söhne" w:cs="Arial"/>
          <w:sz w:val="16"/>
          <w:szCs w:val="16"/>
        </w:rPr>
        <w:br/>
        <w:t xml:space="preserve">PCR = </w:t>
      </w:r>
      <w:r w:rsidR="00BD079E" w:rsidRPr="00AA5E0A">
        <w:rPr>
          <w:rFonts w:ascii="Söhne" w:hAnsi="Söhne" w:cs="Arial"/>
          <w:sz w:val="16"/>
          <w:szCs w:val="16"/>
        </w:rPr>
        <w:t>polymerase chain reaction</w:t>
      </w:r>
      <w:r w:rsidR="00926A59" w:rsidRPr="00AA5E0A">
        <w:rPr>
          <w:rFonts w:ascii="Söhne" w:hAnsi="Söhne" w:cs="Arial"/>
          <w:sz w:val="16"/>
          <w:szCs w:val="16"/>
        </w:rPr>
        <w:t>.</w:t>
      </w:r>
      <w:r w:rsidR="00800AC0" w:rsidRPr="00AA5E0A">
        <w:rPr>
          <w:rFonts w:ascii="Söhne" w:hAnsi="Söhne" w:cs="Arial"/>
          <w:sz w:val="16"/>
          <w:szCs w:val="16"/>
        </w:rPr>
        <w:br/>
      </w:r>
      <w:r w:rsidR="00800AC0" w:rsidRPr="00AA5E0A">
        <w:rPr>
          <w:rFonts w:ascii="Söhne" w:hAnsi="Söhne" w:cs="Arial"/>
          <w:sz w:val="16"/>
          <w:szCs w:val="16"/>
          <w:vertAlign w:val="superscript"/>
        </w:rPr>
        <w:t>(a)</w:t>
      </w:r>
      <w:r w:rsidR="00800AC0" w:rsidRPr="00AA5E0A">
        <w:rPr>
          <w:rFonts w:ascii="Söhne" w:hAnsi="Söhne" w:cs="Arial"/>
          <w:sz w:val="16"/>
          <w:szCs w:val="16"/>
        </w:rPr>
        <w:t>A combination of agent identification methods applied on the same clinical sample is recommended.</w:t>
      </w:r>
    </w:p>
    <w:p w14:paraId="59B419B6" w14:textId="1C8A756F" w:rsidR="00B40CBD" w:rsidRPr="00AA5E0A" w:rsidRDefault="00F24E60" w:rsidP="00280D14">
      <w:pPr>
        <w:pStyle w:val="1"/>
        <w:rPr>
          <w:lang w:val="en-IE"/>
        </w:rPr>
      </w:pPr>
      <w:r w:rsidRPr="00AA5E0A">
        <w:rPr>
          <w:lang w:val="en-IE"/>
        </w:rPr>
        <w:lastRenderedPageBreak/>
        <w:t>1.</w:t>
      </w:r>
      <w:r w:rsidRPr="00AA5E0A">
        <w:rPr>
          <w:lang w:val="en-IE"/>
        </w:rPr>
        <w:tab/>
      </w:r>
      <w:r w:rsidR="00937658" w:rsidRPr="00AA5E0A">
        <w:rPr>
          <w:lang w:val="en-IE"/>
        </w:rPr>
        <w:t>Identification</w:t>
      </w:r>
      <w:r w:rsidR="00B40CBD" w:rsidRPr="00AA5E0A">
        <w:rPr>
          <w:lang w:val="en-IE"/>
        </w:rPr>
        <w:t xml:space="preserve"> of the agent</w:t>
      </w:r>
    </w:p>
    <w:p w14:paraId="59B419B7" w14:textId="77777777" w:rsidR="00B40CBD" w:rsidRPr="00AA5E0A" w:rsidRDefault="00B40CBD" w:rsidP="00280D14">
      <w:pPr>
        <w:pStyle w:val="para1"/>
        <w:rPr>
          <w:lang w:val="en-IE"/>
        </w:rPr>
      </w:pPr>
      <w:r w:rsidRPr="00AA5E0A">
        <w:rPr>
          <w:lang w:val="en-IE"/>
        </w:rPr>
        <w:t xml:space="preserve">Demonstration of encapsulated </w:t>
      </w:r>
      <w:r w:rsidRPr="00AA5E0A">
        <w:rPr>
          <w:i/>
          <w:iCs/>
          <w:lang w:val="en-IE"/>
        </w:rPr>
        <w:t>B. anthracis</w:t>
      </w:r>
      <w:r w:rsidRPr="00AA5E0A">
        <w:rPr>
          <w:lang w:val="en-IE"/>
        </w:rPr>
        <w:t xml:space="preserve"> in smears of blood or tissues from fresh anthrax-infected carcasses and growth of the organism on blood agar plates is relatively uncomplicated and within the capability of most bacteriology laboratories. Difficulty may be encountered in the case of pigs and carnivores in which the terminal bacteraemia is frequently not marked, or in animals that received antibiotics before death.</w:t>
      </w:r>
    </w:p>
    <w:p w14:paraId="59B419B8" w14:textId="77777777" w:rsidR="00B40CBD" w:rsidRPr="00AA5E0A" w:rsidRDefault="00B40CBD" w:rsidP="00280D14">
      <w:pPr>
        <w:pStyle w:val="para1"/>
        <w:rPr>
          <w:lang w:val="en-IE"/>
        </w:rPr>
      </w:pPr>
      <w:r w:rsidRPr="00AA5E0A">
        <w:rPr>
          <w:lang w:val="en-IE"/>
        </w:rPr>
        <w:t xml:space="preserve">Recovery of </w:t>
      </w:r>
      <w:r w:rsidRPr="00AA5E0A">
        <w:rPr>
          <w:i/>
          <w:iCs/>
          <w:lang w:val="en-IE"/>
        </w:rPr>
        <w:t xml:space="preserve">B. anthracis </w:t>
      </w:r>
      <w:r w:rsidRPr="00AA5E0A">
        <w:rPr>
          <w:lang w:val="en-IE"/>
        </w:rPr>
        <w:t xml:space="preserve">from old decomposed carcasses, processed specimens (bone meal, hides), or environmental samples (contaminated soil) is often difficult, requiring demanding and labour-intensive </w:t>
      </w:r>
      <w:r w:rsidR="00152072" w:rsidRPr="00AA5E0A">
        <w:rPr>
          <w:lang w:val="en-IE"/>
        </w:rPr>
        <w:t>procedures. However</w:t>
      </w:r>
      <w:r w:rsidRPr="00AA5E0A">
        <w:rPr>
          <w:lang w:val="en-IE"/>
        </w:rPr>
        <w:t xml:space="preserve"> live spores may be recovered from the turbinate bones of dead livestock and wildlife for an extended period after death</w:t>
      </w:r>
      <w:r w:rsidR="00152072" w:rsidRPr="00AA5E0A">
        <w:rPr>
          <w:lang w:val="en-IE"/>
        </w:rPr>
        <w:t xml:space="preserve"> </w:t>
      </w:r>
      <w:r w:rsidRPr="00AA5E0A">
        <w:rPr>
          <w:lang w:val="en-IE"/>
        </w:rPr>
        <w:t>(M. Hugh-</w:t>
      </w:r>
      <w:r w:rsidR="00152072" w:rsidRPr="00AA5E0A">
        <w:rPr>
          <w:lang w:val="en-IE"/>
        </w:rPr>
        <w:t>Jones, personal communication).</w:t>
      </w:r>
    </w:p>
    <w:p w14:paraId="59B419B9" w14:textId="77777777" w:rsidR="00B40CBD" w:rsidRPr="00AA5E0A" w:rsidRDefault="001B2579" w:rsidP="00D63ACB">
      <w:pPr>
        <w:pStyle w:val="11"/>
        <w:spacing w:after="120"/>
        <w:rPr>
          <w:lang w:val="en-IE"/>
        </w:rPr>
      </w:pPr>
      <w:r w:rsidRPr="00AA5E0A">
        <w:rPr>
          <w:lang w:val="en-IE"/>
        </w:rPr>
        <w:t>1.1.</w:t>
      </w:r>
      <w:r w:rsidR="00B40CBD" w:rsidRPr="00AA5E0A">
        <w:rPr>
          <w:lang w:val="en-IE"/>
        </w:rPr>
        <w:tab/>
        <w:t xml:space="preserve">Culture and identification of </w:t>
      </w:r>
      <w:r w:rsidR="00B40CBD" w:rsidRPr="00AA5E0A">
        <w:rPr>
          <w:i/>
          <w:iCs/>
          <w:lang w:val="en-IE"/>
        </w:rPr>
        <w:t>Bacillus anthracis</w:t>
      </w:r>
    </w:p>
    <w:p w14:paraId="59B419BA" w14:textId="77777777" w:rsidR="00B40CBD" w:rsidRPr="00AA5E0A" w:rsidRDefault="001B2579" w:rsidP="00E45A97">
      <w:pPr>
        <w:pStyle w:val="111"/>
        <w:rPr>
          <w:lang w:val="en-IE"/>
        </w:rPr>
      </w:pPr>
      <w:r w:rsidRPr="00AA5E0A">
        <w:rPr>
          <w:lang w:val="en-IE"/>
        </w:rPr>
        <w:t>1.1.1.</w:t>
      </w:r>
      <w:r w:rsidR="00B40CBD" w:rsidRPr="00AA5E0A">
        <w:rPr>
          <w:lang w:val="en-IE"/>
        </w:rPr>
        <w:tab/>
        <w:t>Fresh specimens</w:t>
      </w:r>
    </w:p>
    <w:p w14:paraId="59B419BB" w14:textId="77777777" w:rsidR="00B40CBD" w:rsidRPr="00AA5E0A" w:rsidRDefault="00B40CBD" w:rsidP="00E45A97">
      <w:pPr>
        <w:pStyle w:val="111Para"/>
        <w:rPr>
          <w:lang w:val="en-IE"/>
        </w:rPr>
      </w:pPr>
      <w:r w:rsidRPr="00AA5E0A">
        <w:rPr>
          <w:i/>
          <w:iCs/>
          <w:lang w:val="en-IE"/>
        </w:rPr>
        <w:t xml:space="preserve">Bacillus anthracis </w:t>
      </w:r>
      <w:r w:rsidRPr="00AA5E0A">
        <w:rPr>
          <w:lang w:val="en-IE"/>
        </w:rPr>
        <w:t xml:space="preserve">grows readily on most types of nutrient agar, however, 5–7% horse or sheep blood agar is the diagnostic medium of choice. Blood is the primary clinical material to examine. Swabs of blood, other body fluids or swabs taken from incisions in tissues or organs can be spread over blood agar plates. After overnight incubation at 37°C, </w:t>
      </w:r>
      <w:r w:rsidRPr="00AA5E0A">
        <w:rPr>
          <w:i/>
          <w:iCs/>
          <w:lang w:val="en-IE"/>
        </w:rPr>
        <w:t>B. anthracis</w:t>
      </w:r>
      <w:r w:rsidRPr="00AA5E0A">
        <w:rPr>
          <w:lang w:val="en-IE"/>
        </w:rPr>
        <w:t xml:space="preserve"> colonies are grey-white to white, 0.3–0.5 cm in diameter, non-haemolytic, with a ground-glass surface, and very tacky when teased with an inoculating loop. Tailing and prominent wisps of growth trailing back toward the parent colony, all in the same direction, are sometimes seen. This characteristic has been described as a ‘medusa head’ or ‘curled hair’ appearance. Confirmation of </w:t>
      </w:r>
      <w:r w:rsidRPr="00AA5E0A">
        <w:rPr>
          <w:i/>
          <w:iCs/>
          <w:lang w:val="en-IE"/>
        </w:rPr>
        <w:t>B. anthracis</w:t>
      </w:r>
      <w:r w:rsidR="0088175C" w:rsidRPr="00AA5E0A">
        <w:rPr>
          <w:i/>
          <w:iCs/>
          <w:lang w:val="en-IE"/>
        </w:rPr>
        <w:t xml:space="preserve"> </w:t>
      </w:r>
      <w:r w:rsidRPr="00AA5E0A">
        <w:rPr>
          <w:lang w:val="en-IE"/>
        </w:rPr>
        <w:t>should be accomplished by the demonstration of a capsulated, spore-forming, Gram-positive rod in blood culture. Absence of motility is an additional test that can be done.</w:t>
      </w:r>
    </w:p>
    <w:p w14:paraId="59B419BC" w14:textId="77777777" w:rsidR="00B40CBD" w:rsidRPr="00AA5E0A" w:rsidRDefault="00B40CBD" w:rsidP="00E45A97">
      <w:pPr>
        <w:pStyle w:val="111Para"/>
      </w:pPr>
      <w:r w:rsidRPr="00AA5E0A">
        <w:t xml:space="preserve">Anthrax-specific </w:t>
      </w:r>
      <w:proofErr w:type="spellStart"/>
      <w:r w:rsidRPr="00AA5E0A">
        <w:t>phages</w:t>
      </w:r>
      <w:proofErr w:type="spellEnd"/>
      <w:r w:rsidRPr="00AA5E0A">
        <w:t xml:space="preserve"> were first isolated in the 1950s, and the specifically named gamma phage was first reported in 1955 (Brown &amp; Cherry, 1955) and quickly became the standard diagnostic phage for anthrax. Gamma phage belongs to a family of closely related anthrax </w:t>
      </w:r>
      <w:proofErr w:type="spellStart"/>
      <w:r w:rsidRPr="00AA5E0A">
        <w:t>phages</w:t>
      </w:r>
      <w:proofErr w:type="spellEnd"/>
      <w:r w:rsidRPr="00AA5E0A">
        <w:t xml:space="preserve"> (</w:t>
      </w:r>
      <w:r w:rsidRPr="00AA5E0A">
        <w:rPr>
          <w:lang w:val="en-IE"/>
        </w:rPr>
        <w:t xml:space="preserve">World Health Organization [WHO], </w:t>
      </w:r>
      <w:r w:rsidRPr="00AA5E0A">
        <w:rPr>
          <w:smallCaps/>
          <w:lang w:val="en-IE"/>
        </w:rPr>
        <w:t>2008</w:t>
      </w:r>
      <w:r w:rsidRPr="00AA5E0A">
        <w:t>).</w:t>
      </w:r>
    </w:p>
    <w:p w14:paraId="59B419BD" w14:textId="77777777" w:rsidR="00B40CBD" w:rsidRPr="00AA5E0A" w:rsidRDefault="00B40CBD" w:rsidP="00E45A97">
      <w:pPr>
        <w:pStyle w:val="111Para"/>
        <w:rPr>
          <w:lang w:val="en-IE"/>
        </w:rPr>
      </w:pPr>
      <w:r w:rsidRPr="00AA5E0A">
        <w:t xml:space="preserve">Two tests for confirming the identity of </w:t>
      </w:r>
      <w:r w:rsidRPr="00AA5E0A">
        <w:rPr>
          <w:i/>
          <w:iCs/>
        </w:rPr>
        <w:t>B. anthracis</w:t>
      </w:r>
      <w:r w:rsidRPr="00AA5E0A">
        <w:t xml:space="preserve"> are gamma phage lysis and penicillin susceptibility. The typical</w:t>
      </w:r>
      <w:r w:rsidR="0088175C" w:rsidRPr="00AA5E0A">
        <w:t xml:space="preserve"> </w:t>
      </w:r>
      <w:r w:rsidRPr="00AA5E0A">
        <w:rPr>
          <w:lang w:val="en-IE"/>
        </w:rPr>
        <w:t>procedure for these tests is</w:t>
      </w:r>
      <w:r w:rsidR="0088175C" w:rsidRPr="00AA5E0A">
        <w:rPr>
          <w:lang w:val="en-IE"/>
        </w:rPr>
        <w:t xml:space="preserve"> </w:t>
      </w:r>
      <w:r w:rsidRPr="00AA5E0A">
        <w:rPr>
          <w:lang w:val="en-IE"/>
        </w:rPr>
        <w:t>to plate</w:t>
      </w:r>
      <w:r w:rsidR="0088175C" w:rsidRPr="00AA5E0A">
        <w:rPr>
          <w:lang w:val="en-IE"/>
        </w:rPr>
        <w:t xml:space="preserve"> </w:t>
      </w:r>
      <w:r w:rsidRPr="00AA5E0A">
        <w:rPr>
          <w:lang w:val="en-IE"/>
        </w:rPr>
        <w:t>a lawn</w:t>
      </w:r>
      <w:r w:rsidR="0088175C" w:rsidRPr="00AA5E0A">
        <w:rPr>
          <w:lang w:val="en-IE"/>
        </w:rPr>
        <w:t xml:space="preserve"> </w:t>
      </w:r>
      <w:r w:rsidRPr="00AA5E0A">
        <w:t xml:space="preserve">of suspect </w:t>
      </w:r>
      <w:r w:rsidRPr="00AA5E0A">
        <w:rPr>
          <w:i/>
          <w:iCs/>
        </w:rPr>
        <w:t>B. anthracis</w:t>
      </w:r>
      <w:r w:rsidR="0088175C" w:rsidRPr="00AA5E0A">
        <w:rPr>
          <w:i/>
          <w:iCs/>
        </w:rPr>
        <w:t xml:space="preserve"> </w:t>
      </w:r>
      <w:r w:rsidRPr="00AA5E0A">
        <w:rPr>
          <w:lang w:val="en-IE"/>
        </w:rPr>
        <w:t>on a blood or nutrient agar plate</w:t>
      </w:r>
      <w:r w:rsidR="00D21CE6" w:rsidRPr="00AA5E0A">
        <w:rPr>
          <w:lang w:val="en-IE"/>
        </w:rPr>
        <w:t xml:space="preserve"> </w:t>
      </w:r>
      <w:r w:rsidRPr="00AA5E0A">
        <w:rPr>
          <w:lang w:val="en-IE"/>
        </w:rPr>
        <w:t xml:space="preserve">and place a 10–15 µl drop of the phage suspension on one side of the </w:t>
      </w:r>
      <w:r w:rsidRPr="00AA5E0A">
        <w:t>lawn</w:t>
      </w:r>
      <w:r w:rsidR="0088175C" w:rsidRPr="00AA5E0A">
        <w:t xml:space="preserve"> </w:t>
      </w:r>
      <w:r w:rsidRPr="00AA5E0A">
        <w:rPr>
          <w:lang w:val="en-IE"/>
        </w:rPr>
        <w:t>and a 10-unit penicillin disk to the other side. Allow the drop of phage suspension to soak in</w:t>
      </w:r>
      <w:r w:rsidRPr="00AA5E0A">
        <w:t>to the agar before incubating</w:t>
      </w:r>
      <w:r w:rsidRPr="00AA5E0A">
        <w:rPr>
          <w:lang w:val="en-IE"/>
        </w:rPr>
        <w:t xml:space="preserve"> the plate at 37°C. A control culture,</w:t>
      </w:r>
      <w:r w:rsidR="0088175C" w:rsidRPr="00AA5E0A">
        <w:rPr>
          <w:lang w:val="en-IE"/>
        </w:rPr>
        <w:t xml:space="preserve"> </w:t>
      </w:r>
      <w:r w:rsidRPr="00AA5E0A">
        <w:t xml:space="preserve">e.g. </w:t>
      </w:r>
      <w:r w:rsidRPr="00AA5E0A">
        <w:rPr>
          <w:lang w:val="en-IE"/>
        </w:rPr>
        <w:t>the Sterne vaccine or the NCTC strain 10340,</w:t>
      </w:r>
      <w:r w:rsidR="0088175C" w:rsidRPr="00AA5E0A">
        <w:rPr>
          <w:lang w:val="en-IE"/>
        </w:rPr>
        <w:t xml:space="preserve"> </w:t>
      </w:r>
      <w:r w:rsidRPr="00AA5E0A">
        <w:t>should be tested at the same time as the suspect culture to demonstrate the expected reaction for gamma phage lysis and penicillin susceptibility</w:t>
      </w:r>
      <w:r w:rsidRPr="00AA5E0A">
        <w:rPr>
          <w:lang w:val="en-IE"/>
        </w:rPr>
        <w:t xml:space="preserve">. If the </w:t>
      </w:r>
      <w:r w:rsidRPr="00AA5E0A">
        <w:t xml:space="preserve">suspect </w:t>
      </w:r>
      <w:r w:rsidRPr="00AA5E0A">
        <w:rPr>
          <w:lang w:val="en-IE"/>
        </w:rPr>
        <w:t xml:space="preserve">culture is </w:t>
      </w:r>
      <w:r w:rsidRPr="00AA5E0A">
        <w:rPr>
          <w:i/>
          <w:iCs/>
          <w:lang w:val="en-IE"/>
        </w:rPr>
        <w:t>B. anthracis</w:t>
      </w:r>
      <w:r w:rsidRPr="00AA5E0A">
        <w:rPr>
          <w:lang w:val="en-IE"/>
        </w:rPr>
        <w:t>, the area under the phage will be devoid of bacterial growth, because of lysis</w:t>
      </w:r>
      <w:r w:rsidRPr="00AA5E0A">
        <w:rPr>
          <w:i/>
          <w:iCs/>
          <w:lang w:val="en-IE"/>
        </w:rPr>
        <w:t xml:space="preserve">, </w:t>
      </w:r>
      <w:r w:rsidRPr="00AA5E0A">
        <w:rPr>
          <w:lang w:val="en-IE"/>
        </w:rPr>
        <w:t xml:space="preserve">and a clear zone will be seen around the penicillin disk </w:t>
      </w:r>
      <w:r w:rsidRPr="00AA5E0A">
        <w:t>indicating antibiotic susceptibility</w:t>
      </w:r>
      <w:r w:rsidRPr="00AA5E0A">
        <w:rPr>
          <w:i/>
          <w:iCs/>
          <w:lang w:val="en-IE"/>
        </w:rPr>
        <w:t xml:space="preserve">. </w:t>
      </w:r>
      <w:r w:rsidRPr="00AA5E0A">
        <w:rPr>
          <w:lang w:val="en-IE"/>
        </w:rPr>
        <w:t>Note that</w:t>
      </w:r>
      <w:r w:rsidR="0088175C" w:rsidRPr="00AA5E0A">
        <w:rPr>
          <w:lang w:val="en-IE"/>
        </w:rPr>
        <w:t xml:space="preserve"> </w:t>
      </w:r>
      <w:r w:rsidRPr="00AA5E0A">
        <w:t>some field</w:t>
      </w:r>
      <w:r w:rsidR="0088175C" w:rsidRPr="00AA5E0A">
        <w:t xml:space="preserve"> </w:t>
      </w:r>
      <w:r w:rsidRPr="00AA5E0A">
        <w:t xml:space="preserve">isolates of </w:t>
      </w:r>
      <w:r w:rsidRPr="00AA5E0A">
        <w:rPr>
          <w:i/>
          <w:iCs/>
        </w:rPr>
        <w:t>B. anthracis</w:t>
      </w:r>
      <w:r w:rsidRPr="00AA5E0A">
        <w:t xml:space="preserve"> may be phage resistant or penicillin resistant. As the performance of the gamma phage lysis assay may be affected by the density of bacterial inoculum, Abshire </w:t>
      </w:r>
      <w:r w:rsidRPr="00AA5E0A">
        <w:rPr>
          <w:i/>
          <w:iCs/>
        </w:rPr>
        <w:t>et al.</w:t>
      </w:r>
      <w:r w:rsidRPr="00AA5E0A">
        <w:t xml:space="preserve"> (2005) recommend streaking the suspect culture on the agar plate over several quadrants instead of using a lawn format and inoculating a drop of gamma phage on the first and second quadrants on the plate.</w:t>
      </w:r>
      <w:r w:rsidR="0088175C" w:rsidRPr="00AA5E0A">
        <w:t xml:space="preserve"> </w:t>
      </w:r>
      <w:r w:rsidRPr="00AA5E0A">
        <w:t xml:space="preserve">If antibiotic or phage resistant </w:t>
      </w:r>
      <w:r w:rsidRPr="00AA5E0A">
        <w:rPr>
          <w:i/>
          <w:iCs/>
        </w:rPr>
        <w:t>B. anthracis</w:t>
      </w:r>
      <w:r w:rsidRPr="00AA5E0A">
        <w:t xml:space="preserve"> is suspected then </w:t>
      </w:r>
      <w:r w:rsidRPr="00AA5E0A">
        <w:rPr>
          <w:lang w:val="en-IE"/>
        </w:rPr>
        <w:t xml:space="preserve">polymerase chain reaction (PCR) </w:t>
      </w:r>
      <w:r w:rsidRPr="00AA5E0A">
        <w:t>diagnostic methods may be applied.</w:t>
      </w:r>
    </w:p>
    <w:p w14:paraId="59B419BE" w14:textId="77777777" w:rsidR="00B40CBD" w:rsidRPr="00AA5E0A" w:rsidRDefault="00B40CBD" w:rsidP="00E45A97">
      <w:pPr>
        <w:pStyle w:val="111Para"/>
      </w:pPr>
      <w:r w:rsidRPr="00AA5E0A">
        <w:t>Phage suspensions may be obtained from central veterinary laboratories or central public health laboratories.</w:t>
      </w:r>
    </w:p>
    <w:p w14:paraId="59B419BF" w14:textId="77777777" w:rsidR="00B40CBD" w:rsidRPr="00AA5E0A" w:rsidRDefault="00B40CBD" w:rsidP="00E45A97">
      <w:pPr>
        <w:pStyle w:val="111Para"/>
      </w:pPr>
      <w:r w:rsidRPr="00AA5E0A">
        <w:t>The phage can be propagated and concentrated by the following protocol. Store phage at 2–4°C and do not freeze phage as it will quickly become non-viable.</w:t>
      </w:r>
    </w:p>
    <w:p w14:paraId="59B419C0" w14:textId="77777777" w:rsidR="00B40CBD" w:rsidRPr="00AA5E0A" w:rsidRDefault="001506C8" w:rsidP="001506C8">
      <w:pPr>
        <w:pStyle w:val="afourthlevel"/>
      </w:pPr>
      <w:r w:rsidRPr="00AA5E0A">
        <w:t xml:space="preserve">1.1.1.1. </w:t>
      </w:r>
      <w:r w:rsidR="00B40CBD" w:rsidRPr="00AA5E0A">
        <w:t>Stage one</w:t>
      </w:r>
    </w:p>
    <w:p w14:paraId="59B419C1" w14:textId="77777777" w:rsidR="00B40CBD" w:rsidRPr="00AA5E0A" w:rsidRDefault="001B2579" w:rsidP="00E45A97">
      <w:pPr>
        <w:pStyle w:val="i"/>
      </w:pPr>
      <w:r w:rsidRPr="00AA5E0A">
        <w:t>i</w:t>
      </w:r>
      <w:r w:rsidR="00B40CBD" w:rsidRPr="00AA5E0A">
        <w:t>)</w:t>
      </w:r>
      <w:r w:rsidR="00B40CBD" w:rsidRPr="00AA5E0A">
        <w:tab/>
        <w:t xml:space="preserve">Spread a blood agar (BA) plate of the Sterne vaccine strain of </w:t>
      </w:r>
      <w:r w:rsidR="00B40CBD" w:rsidRPr="00AA5E0A">
        <w:rPr>
          <w:i/>
        </w:rPr>
        <w:t>B. anthracis</w:t>
      </w:r>
      <w:r w:rsidR="00B40CBD" w:rsidRPr="00AA5E0A">
        <w:t>. Incubate overnight at 37°C.</w:t>
      </w:r>
    </w:p>
    <w:p w14:paraId="59B419C2" w14:textId="77777777" w:rsidR="00B40CBD" w:rsidRPr="00AA5E0A" w:rsidRDefault="001B2579" w:rsidP="00E45A97">
      <w:pPr>
        <w:pStyle w:val="i"/>
      </w:pPr>
      <w:r w:rsidRPr="00AA5E0A">
        <w:t>ii</w:t>
      </w:r>
      <w:r w:rsidR="00B40CBD" w:rsidRPr="00AA5E0A">
        <w:t>)</w:t>
      </w:r>
      <w:r w:rsidR="00B40CBD" w:rsidRPr="00AA5E0A">
        <w:tab/>
        <w:t>Inoculate approximately 10 ml of nutrient broth (NB) with growth from the BA plate and incubate at 37°C for approximately 4 hours or until just cloudy, then refrigerate.</w:t>
      </w:r>
    </w:p>
    <w:p w14:paraId="59B419C3" w14:textId="77777777" w:rsidR="00B40CBD" w:rsidRPr="00AA5E0A" w:rsidRDefault="001B2579" w:rsidP="00E45A97">
      <w:pPr>
        <w:pStyle w:val="i"/>
      </w:pPr>
      <w:r w:rsidRPr="00AA5E0A">
        <w:t>iii</w:t>
      </w:r>
      <w:r w:rsidR="00B40CBD" w:rsidRPr="00AA5E0A">
        <w:t>)</w:t>
      </w:r>
      <w:r w:rsidR="00B40CBD" w:rsidRPr="00AA5E0A">
        <w:tab/>
        <w:t xml:space="preserve">Spread 100 µl of the culture from step </w:t>
      </w:r>
      <w:r w:rsidR="00B01996" w:rsidRPr="00AA5E0A">
        <w:t>ii</w:t>
      </w:r>
      <w:r w:rsidR="00B40CBD" w:rsidRPr="00AA5E0A">
        <w:t xml:space="preserve"> on three pre-dried BA plates and incubate at 37°C for 30–60 minutes.</w:t>
      </w:r>
    </w:p>
    <w:p w14:paraId="59B419C4" w14:textId="77777777" w:rsidR="00B40CBD" w:rsidRPr="00AA5E0A" w:rsidRDefault="001B2579" w:rsidP="00E45A97">
      <w:pPr>
        <w:pStyle w:val="i"/>
      </w:pPr>
      <w:r w:rsidRPr="00AA5E0A">
        <w:t>iv</w:t>
      </w:r>
      <w:r w:rsidR="00B40CBD" w:rsidRPr="00AA5E0A">
        <w:t>)</w:t>
      </w:r>
      <w:r w:rsidR="00B40CBD" w:rsidRPr="00AA5E0A">
        <w:tab/>
        <w:t>Spread 100 µl of the phage suspension to be amplified over the same plates. Incubate at 37°C overnight.</w:t>
      </w:r>
    </w:p>
    <w:p w14:paraId="59B419C5" w14:textId="77777777" w:rsidR="00B40CBD" w:rsidRPr="00AA5E0A" w:rsidRDefault="001B2579" w:rsidP="00E45A97">
      <w:pPr>
        <w:pStyle w:val="i"/>
      </w:pPr>
      <w:r w:rsidRPr="00AA5E0A">
        <w:lastRenderedPageBreak/>
        <w:t>v</w:t>
      </w:r>
      <w:r w:rsidR="00B40CBD" w:rsidRPr="00AA5E0A">
        <w:t>)</w:t>
      </w:r>
      <w:r w:rsidR="00B40CBD" w:rsidRPr="00AA5E0A">
        <w:tab/>
        <w:t>Harvest the phage-lysed growth on the BA plate in 5 ml of NB followed by a second ‘wash’ of 5 ml NB. Incubate at 37°C overnight.</w:t>
      </w:r>
    </w:p>
    <w:p w14:paraId="59B419C6" w14:textId="77777777" w:rsidR="00B40CBD" w:rsidRPr="00AA5E0A" w:rsidRDefault="001B2579" w:rsidP="001506C8">
      <w:pPr>
        <w:pStyle w:val="i"/>
        <w:spacing w:after="240"/>
      </w:pPr>
      <w:r w:rsidRPr="00AA5E0A">
        <w:t>vi</w:t>
      </w:r>
      <w:r w:rsidR="00B40CBD" w:rsidRPr="00AA5E0A">
        <w:t>)</w:t>
      </w:r>
      <w:r w:rsidR="00B40CBD" w:rsidRPr="00AA5E0A">
        <w:tab/>
        <w:t xml:space="preserve">Filter (0.45 µm) and count by dropping 20 µl drops (three drops per dilution) of tenfold dilutions of the filtrate in saline onto lawns of the </w:t>
      </w:r>
      <w:r w:rsidR="00B40CBD" w:rsidRPr="00AA5E0A">
        <w:rPr>
          <w:i/>
        </w:rPr>
        <w:t>B. anthracis</w:t>
      </w:r>
      <w:r w:rsidR="00B40CBD" w:rsidRPr="00AA5E0A">
        <w:t xml:space="preserve"> culture prepared as in step </w:t>
      </w:r>
      <w:r w:rsidR="00B01996" w:rsidRPr="00AA5E0A">
        <w:t>iii</w:t>
      </w:r>
      <w:r w:rsidR="00B40CBD" w:rsidRPr="00AA5E0A">
        <w:t>.</w:t>
      </w:r>
    </w:p>
    <w:p w14:paraId="59B419C7" w14:textId="77777777" w:rsidR="00B40CBD" w:rsidRPr="00AA5E0A" w:rsidRDefault="001506C8" w:rsidP="00E45A97">
      <w:pPr>
        <w:pStyle w:val="afourthlevel"/>
      </w:pPr>
      <w:r w:rsidRPr="00AA5E0A">
        <w:t xml:space="preserve">1.1.1.2. </w:t>
      </w:r>
      <w:r w:rsidR="00B40CBD" w:rsidRPr="00AA5E0A">
        <w:t xml:space="preserve">Stage two </w:t>
      </w:r>
    </w:p>
    <w:p w14:paraId="59B419C8" w14:textId="77777777" w:rsidR="00B40CBD" w:rsidRPr="00AA5E0A" w:rsidRDefault="00B40CBD" w:rsidP="00E45A97">
      <w:pPr>
        <w:pStyle w:val="111Para"/>
      </w:pPr>
      <w:r w:rsidRPr="00AA5E0A">
        <w:t xml:space="preserve">This is essentially the same procedure as Stage one, only uses the filtrate from step </w:t>
      </w:r>
      <w:r w:rsidR="00B01996" w:rsidRPr="00AA5E0A">
        <w:t>vi</w:t>
      </w:r>
      <w:r w:rsidRPr="00AA5E0A">
        <w:t xml:space="preserve"> to harvest the phage from the plates.</w:t>
      </w:r>
    </w:p>
    <w:p w14:paraId="59B419C9" w14:textId="77777777" w:rsidR="00B40CBD" w:rsidRPr="00AA5E0A" w:rsidRDefault="001B2579" w:rsidP="00E45A97">
      <w:pPr>
        <w:pStyle w:val="i"/>
      </w:pPr>
      <w:r w:rsidRPr="00AA5E0A">
        <w:t>vii</w:t>
      </w:r>
      <w:r w:rsidR="00B40CBD" w:rsidRPr="00AA5E0A">
        <w:t>)</w:t>
      </w:r>
      <w:r w:rsidR="00B40CBD" w:rsidRPr="00AA5E0A">
        <w:tab/>
        <w:t xml:space="preserve">Prepare three Sterne strain lawns on BA, as in step </w:t>
      </w:r>
      <w:r w:rsidR="00B01996" w:rsidRPr="00AA5E0A">
        <w:t>iii. Incubate at 37°C for 30–60 </w:t>
      </w:r>
      <w:r w:rsidR="00B40CBD" w:rsidRPr="00AA5E0A">
        <w:t>minutes.</w:t>
      </w:r>
    </w:p>
    <w:p w14:paraId="59B419CA" w14:textId="77777777" w:rsidR="00B40CBD" w:rsidRPr="00AA5E0A" w:rsidRDefault="001B2579" w:rsidP="00E45A97">
      <w:pPr>
        <w:pStyle w:val="i"/>
      </w:pPr>
      <w:r w:rsidRPr="00AA5E0A">
        <w:t>viii</w:t>
      </w:r>
      <w:r w:rsidR="00B40CBD" w:rsidRPr="00AA5E0A">
        <w:t>)</w:t>
      </w:r>
      <w:r w:rsidR="00B40CBD" w:rsidRPr="00AA5E0A">
        <w:tab/>
        <w:t xml:space="preserve">Spread 100 µl phage from step </w:t>
      </w:r>
      <w:r w:rsidR="00B01996" w:rsidRPr="00AA5E0A">
        <w:t>vi</w:t>
      </w:r>
      <w:r w:rsidR="00B40CBD" w:rsidRPr="00AA5E0A">
        <w:t>. Incubate at 37°C overnight.</w:t>
      </w:r>
    </w:p>
    <w:p w14:paraId="59B419CB" w14:textId="77777777" w:rsidR="00B40CBD" w:rsidRPr="00AA5E0A" w:rsidRDefault="00B40CBD" w:rsidP="00E45A97">
      <w:pPr>
        <w:pStyle w:val="i"/>
      </w:pPr>
      <w:r w:rsidRPr="00AA5E0A">
        <w:t>i</w:t>
      </w:r>
      <w:r w:rsidR="001B2579" w:rsidRPr="00AA5E0A">
        <w:t>x</w:t>
      </w:r>
      <w:r w:rsidRPr="00AA5E0A">
        <w:t>)</w:t>
      </w:r>
      <w:r w:rsidRPr="00AA5E0A">
        <w:tab/>
        <w:t xml:space="preserve">To 9 ml of filtrate from step </w:t>
      </w:r>
      <w:r w:rsidR="00B01996" w:rsidRPr="00AA5E0A">
        <w:t>vi</w:t>
      </w:r>
      <w:r w:rsidRPr="00AA5E0A">
        <w:t>, add 1 ml of 10</w:t>
      </w:r>
      <w:r w:rsidR="005567AE" w:rsidRPr="00AA5E0A">
        <w:t>×</w:t>
      </w:r>
      <w:r w:rsidRPr="00AA5E0A">
        <w:t xml:space="preserve"> concentrated NB.</w:t>
      </w:r>
    </w:p>
    <w:p w14:paraId="59B419CC" w14:textId="77777777" w:rsidR="00B40CBD" w:rsidRPr="00AA5E0A" w:rsidRDefault="001B2579" w:rsidP="00E45A97">
      <w:pPr>
        <w:pStyle w:val="i"/>
      </w:pPr>
      <w:r w:rsidRPr="00AA5E0A">
        <w:t>x</w:t>
      </w:r>
      <w:r w:rsidR="00B40CBD" w:rsidRPr="00AA5E0A">
        <w:t>)</w:t>
      </w:r>
      <w:r w:rsidR="00B40CBD" w:rsidRPr="00AA5E0A">
        <w:tab/>
        <w:t xml:space="preserve">Harvest the phage from step </w:t>
      </w:r>
      <w:r w:rsidR="00B01996" w:rsidRPr="00AA5E0A">
        <w:t>viii</w:t>
      </w:r>
      <w:r w:rsidR="00B40CBD" w:rsidRPr="00AA5E0A">
        <w:t xml:space="preserve"> with 5 ml of the solution from</w:t>
      </w:r>
      <w:r w:rsidR="00B01996" w:rsidRPr="00AA5E0A">
        <w:t xml:space="preserve"> step i</w:t>
      </w:r>
      <w:r w:rsidR="00E9755B" w:rsidRPr="00AA5E0A">
        <w:t>x</w:t>
      </w:r>
      <w:r w:rsidR="00B01996" w:rsidRPr="00AA5E0A">
        <w:t>, followed by a second 5 </w:t>
      </w:r>
      <w:r w:rsidR="00B40CBD" w:rsidRPr="00AA5E0A">
        <w:t xml:space="preserve">ml wash with the rest of the solution from step </w:t>
      </w:r>
      <w:r w:rsidR="00B01996" w:rsidRPr="00AA5E0A">
        <w:t>vi</w:t>
      </w:r>
      <w:r w:rsidR="00B40CBD" w:rsidRPr="00AA5E0A">
        <w:t>.</w:t>
      </w:r>
    </w:p>
    <w:p w14:paraId="59B419CD" w14:textId="77777777" w:rsidR="00B40CBD" w:rsidRPr="00AA5E0A" w:rsidRDefault="001B2579" w:rsidP="00E45A97">
      <w:pPr>
        <w:pStyle w:val="i"/>
      </w:pPr>
      <w:r w:rsidRPr="00AA5E0A">
        <w:t>xi</w:t>
      </w:r>
      <w:r w:rsidR="00B40CBD" w:rsidRPr="00AA5E0A">
        <w:t>)</w:t>
      </w:r>
      <w:r w:rsidR="00B40CBD" w:rsidRPr="00AA5E0A">
        <w:tab/>
        <w:t>Add 10 ml of 1× NB.</w:t>
      </w:r>
    </w:p>
    <w:p w14:paraId="59B419CE" w14:textId="77777777" w:rsidR="00B40CBD" w:rsidRPr="00AA5E0A" w:rsidRDefault="001B2579" w:rsidP="001506C8">
      <w:pPr>
        <w:pStyle w:val="i"/>
        <w:spacing w:after="240"/>
      </w:pPr>
      <w:r w:rsidRPr="00AA5E0A">
        <w:t>xii</w:t>
      </w:r>
      <w:r w:rsidR="00B40CBD" w:rsidRPr="00AA5E0A">
        <w:t>)</w:t>
      </w:r>
      <w:r w:rsidR="00B40CBD" w:rsidRPr="00AA5E0A">
        <w:tab/>
        <w:t>Incubate at 37°C overnight, filter and count.</w:t>
      </w:r>
    </w:p>
    <w:p w14:paraId="59B419CF" w14:textId="77777777" w:rsidR="00B40CBD" w:rsidRPr="00AA5E0A" w:rsidRDefault="001506C8" w:rsidP="00E45A97">
      <w:pPr>
        <w:pStyle w:val="afourthlevel"/>
      </w:pPr>
      <w:r w:rsidRPr="00AA5E0A">
        <w:t xml:space="preserve">1.1.1.3. </w:t>
      </w:r>
      <w:r w:rsidR="00B40CBD" w:rsidRPr="00AA5E0A">
        <w:t>Stage three</w:t>
      </w:r>
    </w:p>
    <w:p w14:paraId="59B419D0" w14:textId="77777777" w:rsidR="00B40CBD" w:rsidRPr="00AA5E0A" w:rsidRDefault="001B2579" w:rsidP="00E45A97">
      <w:pPr>
        <w:pStyle w:val="i"/>
      </w:pPr>
      <w:r w:rsidRPr="00AA5E0A">
        <w:t>xiii</w:t>
      </w:r>
      <w:r w:rsidR="00B40CBD" w:rsidRPr="00AA5E0A">
        <w:t>)</w:t>
      </w:r>
      <w:r w:rsidR="00B40CBD" w:rsidRPr="00AA5E0A">
        <w:tab/>
        <w:t xml:space="preserve">Inoculate 100 ml of brain–heart infusion broth with approximately 2.5 ml of the culture from step </w:t>
      </w:r>
      <w:r w:rsidR="00B01996" w:rsidRPr="00AA5E0A">
        <w:t>ii</w:t>
      </w:r>
      <w:r w:rsidR="00B40CBD" w:rsidRPr="00AA5E0A">
        <w:t>. Incubate on a rotary shaker at 37°C until just turbid.</w:t>
      </w:r>
    </w:p>
    <w:p w14:paraId="59B419D1" w14:textId="77777777" w:rsidR="00B40CBD" w:rsidRPr="00AA5E0A" w:rsidRDefault="001B2579" w:rsidP="00E45A97">
      <w:pPr>
        <w:pStyle w:val="i"/>
      </w:pPr>
      <w:r w:rsidRPr="00AA5E0A">
        <w:t>xiv</w:t>
      </w:r>
      <w:r w:rsidR="00B40CBD" w:rsidRPr="00AA5E0A">
        <w:t>)</w:t>
      </w:r>
      <w:r w:rsidR="00B40CBD" w:rsidRPr="00AA5E0A">
        <w:tab/>
        <w:t xml:space="preserve">Add the 20 ml of filtrate from step </w:t>
      </w:r>
      <w:r w:rsidR="00B01996" w:rsidRPr="00AA5E0A">
        <w:t>xii</w:t>
      </w:r>
      <w:r w:rsidR="00B40CBD" w:rsidRPr="00AA5E0A">
        <w:t xml:space="preserve"> and continue incubation overnight.</w:t>
      </w:r>
    </w:p>
    <w:p w14:paraId="59B419D2" w14:textId="1F034AEE" w:rsidR="00B40CBD" w:rsidRPr="00AA5E0A" w:rsidRDefault="001B2579" w:rsidP="00E9755B">
      <w:pPr>
        <w:pStyle w:val="i"/>
        <w:spacing w:after="240"/>
      </w:pPr>
      <w:r w:rsidRPr="00AA5E0A">
        <w:t>xv</w:t>
      </w:r>
      <w:r w:rsidR="00B40CBD" w:rsidRPr="00AA5E0A">
        <w:t>)</w:t>
      </w:r>
      <w:r w:rsidR="00B40CBD" w:rsidRPr="00AA5E0A">
        <w:tab/>
        <w:t xml:space="preserve">The resultant filtrate is checked for sterility and titrated in tenfold dilutions on lawns of the vaccine strain as in step </w:t>
      </w:r>
      <w:r w:rsidR="00E9755B" w:rsidRPr="00AA5E0A">
        <w:t>vi</w:t>
      </w:r>
      <w:r w:rsidR="00B40CBD" w:rsidRPr="00AA5E0A">
        <w:t xml:space="preserve"> to determine the concentration of the phage. This should be of the order of 10</w:t>
      </w:r>
      <w:r w:rsidR="00D63ACB" w:rsidRPr="00AA5E0A">
        <w:rPr>
          <w:vertAlign w:val="superscript"/>
        </w:rPr>
        <w:t>8</w:t>
      </w:r>
      <w:r w:rsidR="00B40CBD" w:rsidRPr="00AA5E0A">
        <w:t>–10</w:t>
      </w:r>
      <w:r w:rsidR="00D63ACB" w:rsidRPr="00AA5E0A">
        <w:rPr>
          <w:vertAlign w:val="superscript"/>
        </w:rPr>
        <w:t>9</w:t>
      </w:r>
      <w:r w:rsidR="00B40CBD" w:rsidRPr="00AA5E0A">
        <w:t xml:space="preserve"> plaque forming units per ml.</w:t>
      </w:r>
    </w:p>
    <w:p w14:paraId="59B419D3" w14:textId="77777777" w:rsidR="00B40CBD" w:rsidRPr="00AA5E0A" w:rsidRDefault="001B2579" w:rsidP="00E45A97">
      <w:pPr>
        <w:pStyle w:val="111"/>
        <w:rPr>
          <w:lang w:val="en-IE"/>
        </w:rPr>
      </w:pPr>
      <w:r w:rsidRPr="00AA5E0A">
        <w:rPr>
          <w:lang w:val="en-IE"/>
        </w:rPr>
        <w:t>1.1.2.</w:t>
      </w:r>
      <w:r w:rsidR="00B40CBD" w:rsidRPr="00AA5E0A">
        <w:rPr>
          <w:lang w:val="en-IE"/>
        </w:rPr>
        <w:tab/>
        <w:t>Capsule visualisation</w:t>
      </w:r>
    </w:p>
    <w:p w14:paraId="59B419D4" w14:textId="0466A958" w:rsidR="00B40CBD" w:rsidRPr="00AA5E0A" w:rsidRDefault="0496BFE1" w:rsidP="00E45A97">
      <w:pPr>
        <w:pStyle w:val="111Para"/>
      </w:pPr>
      <w:r w:rsidRPr="081E3505">
        <w:rPr>
          <w:lang w:val="en-IE"/>
        </w:rPr>
        <w:t xml:space="preserve">Virulent encapsulated </w:t>
      </w:r>
      <w:r w:rsidRPr="081E3505">
        <w:rPr>
          <w:i/>
          <w:iCs/>
          <w:lang w:val="en-IE"/>
        </w:rPr>
        <w:t xml:space="preserve">B. anthracis </w:t>
      </w:r>
      <w:r w:rsidRPr="081E3505">
        <w:rPr>
          <w:lang w:val="en-IE"/>
        </w:rPr>
        <w:t>is present in tissues and blood and other body fluids from animals that have died from anthrax. Thin smears may be prepared from blood from ear veins or other peripheral veins, exudate from orifices and, for horses and pigs, from oedematous fluid or superficial lymph nodes in the neck region. However if the animal has been dead more than 24 hours</w:t>
      </w:r>
      <w:r w:rsidR="25F3AE45" w:rsidRPr="081E3505">
        <w:rPr>
          <w:lang w:val="en-IE"/>
        </w:rPr>
        <w:t>,</w:t>
      </w:r>
      <w:r w:rsidRPr="081E3505">
        <w:rPr>
          <w:lang w:val="en-IE"/>
        </w:rPr>
        <w:t xml:space="preserve"> the capsule may be difficult to detect. The bacteria should be looked for in smears of these specimens that have been dried, fixed </w:t>
      </w:r>
      <w:r w:rsidR="00B40CBD" w:rsidRPr="00FB0127">
        <w:rPr>
          <w:strike/>
          <w:lang w:val="en-IE"/>
        </w:rPr>
        <w:t xml:space="preserve">either using heat or by dipping the smear in 95–100% alcohol for about </w:t>
      </w:r>
      <w:r w:rsidR="00B40CBD" w:rsidRPr="00FB0127">
        <w:rPr>
          <w:strike/>
          <w:u w:val="double"/>
          <w:lang w:val="en-IE"/>
        </w:rPr>
        <w:t>5</w:t>
      </w:r>
      <w:r w:rsidR="00B40CBD" w:rsidRPr="00FB0127">
        <w:rPr>
          <w:strike/>
          <w:lang w:val="en-IE"/>
        </w:rPr>
        <w:t xml:space="preserve"> 1 minute</w:t>
      </w:r>
      <w:r w:rsidR="00B40CBD" w:rsidRPr="00FB0127">
        <w:rPr>
          <w:strike/>
          <w:u w:val="double"/>
          <w:lang w:val="en-IE"/>
        </w:rPr>
        <w:t>s</w:t>
      </w:r>
      <w:r w:rsidR="00B40CBD" w:rsidRPr="00FB0127">
        <w:rPr>
          <w:strike/>
          <w:lang w:val="en-IE"/>
        </w:rPr>
        <w:t xml:space="preserve"> and air dried</w:t>
      </w:r>
      <w:r w:rsidR="1CC7B21A" w:rsidRPr="00FB0127">
        <w:rPr>
          <w:strike/>
          <w:lang w:val="en-IE"/>
        </w:rPr>
        <w:t xml:space="preserve"> </w:t>
      </w:r>
      <w:r w:rsidRPr="081E3505">
        <w:rPr>
          <w:lang w:val="en-IE"/>
        </w:rPr>
        <w:t xml:space="preserve">and then stained with </w:t>
      </w:r>
      <w:r w:rsidRPr="081E3505">
        <w:rPr>
          <w:strike/>
          <w:lang w:val="en-IE"/>
        </w:rPr>
        <w:t xml:space="preserve">polychrome methylene blue </w:t>
      </w:r>
      <w:r w:rsidR="7E9F098B" w:rsidRPr="081E3505">
        <w:rPr>
          <w:u w:val="double"/>
          <w:lang w:val="en-IE"/>
        </w:rPr>
        <w:t>azure B</w:t>
      </w:r>
      <w:r w:rsidR="7E9F098B" w:rsidRPr="081E3505">
        <w:rPr>
          <w:lang w:val="en-IE"/>
        </w:rPr>
        <w:t xml:space="preserve"> (</w:t>
      </w:r>
      <w:proofErr w:type="spellStart"/>
      <w:r w:rsidRPr="081E3505">
        <w:rPr>
          <w:lang w:val="en-IE"/>
        </w:rPr>
        <w:t>M</w:t>
      </w:r>
      <w:r w:rsidR="7E9F098B" w:rsidRPr="081E3505">
        <w:rPr>
          <w:lang w:val="en-IE"/>
        </w:rPr>
        <w:t>’</w:t>
      </w:r>
      <w:r w:rsidRPr="081E3505">
        <w:rPr>
          <w:lang w:val="en-IE"/>
        </w:rPr>
        <w:t>Fadyean’s</w:t>
      </w:r>
      <w:proofErr w:type="spellEnd"/>
      <w:r w:rsidRPr="081E3505">
        <w:rPr>
          <w:lang w:val="en-IE"/>
        </w:rPr>
        <w:t xml:space="preserve"> reaction). The capsule stains pink, whereas the bacillus cells stain dark blue. The cells are found in pairs or short chains and are often square-ended (the chains are sometimes likened to a set of railway carriages – so-called ‘box-car’ or ‘jointed bamboo-rod’</w:t>
      </w:r>
      <w:r w:rsidR="25F3AE45" w:rsidRPr="081E3505">
        <w:rPr>
          <w:lang w:val="en-IE"/>
        </w:rPr>
        <w:t xml:space="preserve"> </w:t>
      </w:r>
      <w:r w:rsidRPr="081E3505">
        <w:rPr>
          <w:lang w:val="en-IE"/>
        </w:rPr>
        <w:t xml:space="preserve">appearance). Gram </w:t>
      </w:r>
      <w:r w:rsidRPr="00BE7ACA">
        <w:rPr>
          <w:strike/>
          <w:highlight w:val="yellow"/>
          <w:lang w:val="en-IE"/>
        </w:rPr>
        <w:t>and Giemsa</w:t>
      </w:r>
      <w:r w:rsidRPr="00BE7ACA">
        <w:rPr>
          <w:strike/>
          <w:lang w:val="en-IE"/>
        </w:rPr>
        <w:t xml:space="preserve"> </w:t>
      </w:r>
      <w:r w:rsidRPr="081E3505">
        <w:rPr>
          <w:lang w:val="en-IE"/>
        </w:rPr>
        <w:t>stain</w:t>
      </w:r>
      <w:r w:rsidRPr="00BE7ACA">
        <w:rPr>
          <w:strike/>
          <w:highlight w:val="yellow"/>
          <w:lang w:val="en-IE"/>
        </w:rPr>
        <w:t>s</w:t>
      </w:r>
      <w:r w:rsidRPr="081E3505">
        <w:rPr>
          <w:lang w:val="en-IE"/>
        </w:rPr>
        <w:t xml:space="preserve"> do</w:t>
      </w:r>
      <w:r w:rsidR="00BB1B1E" w:rsidRPr="00BE7ACA">
        <w:rPr>
          <w:highlight w:val="yellow"/>
          <w:u w:val="double"/>
          <w:lang w:val="en-IE"/>
        </w:rPr>
        <w:t>es</w:t>
      </w:r>
      <w:r w:rsidRPr="081E3505">
        <w:rPr>
          <w:lang w:val="en-IE"/>
        </w:rPr>
        <w:t xml:space="preserve"> not reveal the capsule. The capsule is not present on </w:t>
      </w:r>
      <w:r w:rsidRPr="081E3505">
        <w:rPr>
          <w:i/>
          <w:iCs/>
          <w:lang w:val="en-IE"/>
        </w:rPr>
        <w:t xml:space="preserve">B. anthracis </w:t>
      </w:r>
      <w:r w:rsidRPr="081E3505">
        <w:rPr>
          <w:lang w:val="en-IE"/>
        </w:rPr>
        <w:t xml:space="preserve">grown aerobically on nutrient agar or in nutrient broths but can be seen when the virulent bacterium is cultured for a few hours in a few millilitres of blood (defibrinated horse or sheep blood seems to work best). Alternatively, the capsule is produced when the virulent </w:t>
      </w:r>
      <w:r w:rsidRPr="081E3505">
        <w:rPr>
          <w:i/>
          <w:iCs/>
          <w:lang w:val="en-IE"/>
        </w:rPr>
        <w:t>B. anthracis</w:t>
      </w:r>
      <w:r w:rsidRPr="081E3505">
        <w:rPr>
          <w:lang w:val="en-IE"/>
        </w:rPr>
        <w:t xml:space="preserve"> is cultured on nutrient agar containing 0.7% sodium bicarbonate and incubated in the presence of CO</w:t>
      </w:r>
      <w:r w:rsidRPr="081E3505">
        <w:rPr>
          <w:vertAlign w:val="subscript"/>
          <w:lang w:val="en-IE"/>
        </w:rPr>
        <w:t>2</w:t>
      </w:r>
      <w:r w:rsidRPr="081E3505">
        <w:rPr>
          <w:lang w:val="en-IE"/>
        </w:rPr>
        <w:t xml:space="preserve"> (20% is optimal, but a candle jar works well). The agar is prepared by weighing nutrient agar base powder required for a final volume of 100 ml but reconstituting the measured agar in only 90 ml of water. Autoclave and cool to 50°C in a water bath. Add 10 ml of a filter-sterilised (0.22–0.45 µm filter) 7% solution of sodium bicarbonate. Mix and pour into Petri dishes. The encapsulated </w:t>
      </w:r>
      <w:r w:rsidRPr="081E3505">
        <w:rPr>
          <w:i/>
          <w:iCs/>
          <w:lang w:val="en-IE"/>
        </w:rPr>
        <w:t xml:space="preserve">B. anthracis </w:t>
      </w:r>
      <w:r w:rsidRPr="081E3505">
        <w:rPr>
          <w:lang w:val="en-IE"/>
        </w:rPr>
        <w:t xml:space="preserve">will form mucoid colonies and the capsule can be visualised by making thin smears on microscope slides, fixing, and staining with </w:t>
      </w:r>
      <w:r w:rsidR="00694DD1" w:rsidRPr="00CE3856">
        <w:rPr>
          <w:highlight w:val="yellow"/>
          <w:u w:val="double"/>
          <w:lang w:val="en-IE"/>
        </w:rPr>
        <w:t xml:space="preserve">azure B or </w:t>
      </w:r>
      <w:r w:rsidRPr="00CE3856">
        <w:rPr>
          <w:highlight w:val="yellow"/>
          <w:u w:val="double"/>
          <w:lang w:val="en-IE"/>
        </w:rPr>
        <w:t>polychrome methylene blue</w:t>
      </w:r>
      <w:r w:rsidR="25F3AE45" w:rsidRPr="00CE3856">
        <w:rPr>
          <w:highlight w:val="yellow"/>
          <w:u w:val="double"/>
          <w:lang w:val="en-IE"/>
        </w:rPr>
        <w:t xml:space="preserve"> </w:t>
      </w:r>
      <w:r w:rsidRPr="00CE3856">
        <w:rPr>
          <w:highlight w:val="yellow"/>
          <w:u w:val="double"/>
          <w:lang w:val="en-IE"/>
        </w:rPr>
        <w:t>(</w:t>
      </w:r>
      <w:proofErr w:type="spellStart"/>
      <w:r w:rsidRPr="00CE3856">
        <w:rPr>
          <w:highlight w:val="yellow"/>
          <w:u w:val="double"/>
          <w:lang w:val="en-IE"/>
        </w:rPr>
        <w:t>M</w:t>
      </w:r>
      <w:r w:rsidR="7E9F098B" w:rsidRPr="00CE3856">
        <w:rPr>
          <w:highlight w:val="yellow"/>
          <w:u w:val="double"/>
          <w:lang w:val="en-IE"/>
        </w:rPr>
        <w:t>’</w:t>
      </w:r>
      <w:r w:rsidRPr="00CE3856">
        <w:rPr>
          <w:highlight w:val="yellow"/>
          <w:u w:val="double"/>
          <w:lang w:val="en-IE"/>
        </w:rPr>
        <w:t>Fadyean’s</w:t>
      </w:r>
      <w:proofErr w:type="spellEnd"/>
      <w:r w:rsidRPr="00CE3856">
        <w:rPr>
          <w:highlight w:val="yellow"/>
          <w:u w:val="double"/>
          <w:lang w:val="en-IE"/>
        </w:rPr>
        <w:t xml:space="preserve"> stain)</w:t>
      </w:r>
      <w:r w:rsidR="7E9F098B" w:rsidRPr="00CE3856">
        <w:rPr>
          <w:strike/>
          <w:highlight w:val="yellow"/>
          <w:lang w:val="en-IE"/>
        </w:rPr>
        <w:t xml:space="preserve"> azure B</w:t>
      </w:r>
      <w:r w:rsidR="7E9F098B" w:rsidRPr="081E3505">
        <w:rPr>
          <w:lang w:val="en-IE"/>
        </w:rPr>
        <w:t>.</w:t>
      </w:r>
    </w:p>
    <w:p w14:paraId="59B419D5" w14:textId="77777777" w:rsidR="00B40CBD" w:rsidRPr="00CE3856" w:rsidRDefault="00B40CBD" w:rsidP="00E45A97">
      <w:pPr>
        <w:pStyle w:val="111Para"/>
        <w:rPr>
          <w:u w:val="double"/>
          <w:lang w:val="en-IE"/>
        </w:rPr>
      </w:pPr>
      <w:r w:rsidRPr="00CE3856">
        <w:rPr>
          <w:highlight w:val="yellow"/>
          <w:u w:val="double"/>
          <w:lang w:val="en-IE"/>
        </w:rPr>
        <w:t>Polychrome methylene blue can be prepared as follows: 0.3 g of methylene blue is dissolved in 30 ml of 95% ethanol; 100 ml of 0.01% potassium hydroxide (KOH) is mixed with the methylene blue solution. Ideally, this should be allowed to stand exposed to the air, with occasional shaking, for at least 1 year to oxidise and mature. Addition of K</w:t>
      </w:r>
      <w:r w:rsidRPr="00CE3856">
        <w:rPr>
          <w:highlight w:val="yellow"/>
          <w:u w:val="double"/>
          <w:vertAlign w:val="subscript"/>
          <w:lang w:val="en-IE"/>
        </w:rPr>
        <w:t>2</w:t>
      </w:r>
      <w:r w:rsidRPr="00CE3856">
        <w:rPr>
          <w:highlight w:val="yellow"/>
          <w:u w:val="double"/>
          <w:lang w:val="en-IE"/>
        </w:rPr>
        <w:t>CO</w:t>
      </w:r>
      <w:r w:rsidRPr="00CE3856">
        <w:rPr>
          <w:highlight w:val="yellow"/>
          <w:u w:val="double"/>
          <w:vertAlign w:val="subscript"/>
          <w:lang w:val="en-IE"/>
        </w:rPr>
        <w:t>3</w:t>
      </w:r>
      <w:r w:rsidRPr="00CE3856">
        <w:rPr>
          <w:highlight w:val="yellow"/>
          <w:u w:val="double"/>
          <w:lang w:val="en-IE"/>
        </w:rPr>
        <w:t xml:space="preserve"> (to a final concentration of 1%) hastens the ‘ripening’ of the stain, but before it is regarded as diagnostically reliable, its efficacy should be established by testing it in parallel with an earlier, functional batch of stain on </w:t>
      </w:r>
      <w:r w:rsidRPr="00CE3856">
        <w:rPr>
          <w:i/>
          <w:iCs/>
          <w:highlight w:val="yellow"/>
          <w:u w:val="double"/>
          <w:lang w:val="en-IE"/>
        </w:rPr>
        <w:t>bona fide</w:t>
      </w:r>
      <w:r w:rsidRPr="00CE3856">
        <w:rPr>
          <w:highlight w:val="yellow"/>
          <w:u w:val="double"/>
          <w:lang w:val="en-IE"/>
        </w:rPr>
        <w:t xml:space="preserve"> samples. It has been found that stains that give positive reactions with cultures of </w:t>
      </w:r>
      <w:r w:rsidRPr="00CE3856">
        <w:rPr>
          <w:i/>
          <w:iCs/>
          <w:highlight w:val="yellow"/>
          <w:u w:val="double"/>
          <w:lang w:val="en-IE"/>
        </w:rPr>
        <w:t>B. anthracis</w:t>
      </w:r>
      <w:r w:rsidRPr="00CE3856">
        <w:rPr>
          <w:highlight w:val="yellow"/>
          <w:u w:val="double"/>
          <w:lang w:val="en-IE"/>
        </w:rPr>
        <w:t xml:space="preserve"> cultured artificially in horse blood sometimes do not give positive results in the field. </w:t>
      </w:r>
    </w:p>
    <w:p w14:paraId="0187F2E7" w14:textId="4ADC3F16" w:rsidR="00E569E7" w:rsidRPr="00AA5E0A" w:rsidRDefault="00E569E7" w:rsidP="00E569E7">
      <w:pPr>
        <w:pStyle w:val="111Para"/>
        <w:rPr>
          <w:u w:val="double"/>
          <w:lang w:val="en-US"/>
        </w:rPr>
      </w:pPr>
      <w:r w:rsidRPr="50062066">
        <w:rPr>
          <w:u w:val="double"/>
          <w:lang w:val="en-IE"/>
        </w:rPr>
        <w:lastRenderedPageBreak/>
        <w:t xml:space="preserve">The method for capsule visualisation has been revised according to the description by Owen </w:t>
      </w:r>
      <w:r w:rsidRPr="50062066">
        <w:rPr>
          <w:i/>
          <w:iCs/>
          <w:u w:val="double"/>
          <w:lang w:val="en-IE"/>
        </w:rPr>
        <w:t>et al.</w:t>
      </w:r>
      <w:r w:rsidRPr="50062066">
        <w:rPr>
          <w:u w:val="double"/>
          <w:lang w:val="en-IE"/>
        </w:rPr>
        <w:t xml:space="preserve"> (2013). </w:t>
      </w:r>
      <w:r w:rsidRPr="50062066">
        <w:rPr>
          <w:u w:val="double"/>
          <w:lang w:val="en-US"/>
        </w:rPr>
        <w:t>The established simple polychrome methylene blue (PMB) staining method for blood or tissue smears from dead animals (</w:t>
      </w:r>
      <w:proofErr w:type="spellStart"/>
      <w:r w:rsidRPr="50062066">
        <w:rPr>
          <w:u w:val="double"/>
          <w:lang w:val="en-US"/>
        </w:rPr>
        <w:t>M</w:t>
      </w:r>
      <w:r w:rsidR="00244F51" w:rsidRPr="50062066">
        <w:rPr>
          <w:u w:val="double"/>
          <w:lang w:val="en-US"/>
        </w:rPr>
        <w:t>’</w:t>
      </w:r>
      <w:r w:rsidRPr="50062066">
        <w:rPr>
          <w:u w:val="double"/>
          <w:lang w:val="en-US"/>
        </w:rPr>
        <w:t>Fadyean</w:t>
      </w:r>
      <w:r w:rsidR="252FA5D0" w:rsidRPr="50062066">
        <w:rPr>
          <w:u w:val="double"/>
          <w:lang w:val="en-US"/>
        </w:rPr>
        <w:t>’s</w:t>
      </w:r>
      <w:proofErr w:type="spellEnd"/>
      <w:r w:rsidRPr="50062066">
        <w:rPr>
          <w:u w:val="double"/>
          <w:lang w:val="en-US"/>
        </w:rPr>
        <w:t xml:space="preserve"> reaction) is therefore replaced by azure B staining. It must be noted that the rarity of anthrax disease worldwide due to improvements in the control of the disease has led to quality controlled commercially produced PMB being difficult to obtain. In addition, reports of inaccurate results using alternative methylene blue-based stains has also become a concern. Hence, for laboratories requiring a reliable </w:t>
      </w:r>
      <w:proofErr w:type="spellStart"/>
      <w:r w:rsidRPr="50062066">
        <w:rPr>
          <w:u w:val="double"/>
          <w:lang w:val="en-US"/>
        </w:rPr>
        <w:t>M</w:t>
      </w:r>
      <w:r w:rsidR="00244F51" w:rsidRPr="50062066">
        <w:rPr>
          <w:u w:val="double"/>
          <w:lang w:val="en-US"/>
        </w:rPr>
        <w:t>’</w:t>
      </w:r>
      <w:r w:rsidRPr="50062066">
        <w:rPr>
          <w:u w:val="double"/>
          <w:lang w:val="en-US"/>
        </w:rPr>
        <w:t>Fadyean</w:t>
      </w:r>
      <w:proofErr w:type="spellEnd"/>
      <w:r w:rsidRPr="50062066">
        <w:rPr>
          <w:u w:val="double"/>
          <w:lang w:val="en-US"/>
        </w:rPr>
        <w:t xml:space="preserve"> stain for rapid detection, the recommended approach is to use commercially pure azure B (Owen</w:t>
      </w:r>
      <w:r w:rsidR="00244F51" w:rsidRPr="50062066">
        <w:rPr>
          <w:u w:val="double"/>
          <w:lang w:val="en-US"/>
        </w:rPr>
        <w:t xml:space="preserve"> </w:t>
      </w:r>
      <w:r w:rsidRPr="50062066">
        <w:rPr>
          <w:i/>
          <w:iCs/>
          <w:u w:val="double"/>
          <w:lang w:val="en-US"/>
        </w:rPr>
        <w:t>et al.</w:t>
      </w:r>
      <w:r w:rsidR="00244F51" w:rsidRPr="50062066">
        <w:rPr>
          <w:i/>
          <w:iCs/>
          <w:u w:val="double"/>
          <w:lang w:val="en-US"/>
        </w:rPr>
        <w:t>,</w:t>
      </w:r>
      <w:r w:rsidRPr="50062066">
        <w:rPr>
          <w:u w:val="double"/>
          <w:lang w:val="en-US"/>
        </w:rPr>
        <w:t xml:space="preserve"> 2013).</w:t>
      </w:r>
    </w:p>
    <w:p w14:paraId="577E2630" w14:textId="4C0EB69F" w:rsidR="00E569E7" w:rsidRPr="00AA5E0A" w:rsidRDefault="00E569E7" w:rsidP="00E569E7">
      <w:pPr>
        <w:pStyle w:val="111Para"/>
        <w:rPr>
          <w:u w:val="double"/>
          <w:lang w:val="en-IE"/>
        </w:rPr>
      </w:pPr>
      <w:r w:rsidRPr="00AA5E0A">
        <w:rPr>
          <w:u w:val="double"/>
          <w:lang w:val="en-IE"/>
        </w:rPr>
        <w:t>This microscop</w:t>
      </w:r>
      <w:r w:rsidR="00BA3A0F" w:rsidRPr="00AA5E0A">
        <w:rPr>
          <w:u w:val="double"/>
          <w:lang w:val="en-IE"/>
        </w:rPr>
        <w:t>y</w:t>
      </w:r>
      <w:r w:rsidRPr="00AA5E0A">
        <w:rPr>
          <w:u w:val="double"/>
          <w:lang w:val="en-IE"/>
        </w:rPr>
        <w:t xml:space="preserve"> method was validated by Aminu </w:t>
      </w:r>
      <w:r w:rsidRPr="00AA5E0A">
        <w:rPr>
          <w:i/>
          <w:iCs/>
          <w:u w:val="double"/>
          <w:lang w:val="en-IE"/>
        </w:rPr>
        <w:t>et al.</w:t>
      </w:r>
      <w:r w:rsidRPr="00AA5E0A">
        <w:rPr>
          <w:u w:val="double"/>
          <w:lang w:val="en-IE"/>
        </w:rPr>
        <w:t xml:space="preserve"> (2020), </w:t>
      </w:r>
      <w:r w:rsidRPr="00AA5E0A">
        <w:rPr>
          <w:u w:val="double"/>
          <w:lang w:val="en-US"/>
        </w:rPr>
        <w:t xml:space="preserve">for the detection of </w:t>
      </w:r>
      <w:r w:rsidRPr="00AA5E0A">
        <w:rPr>
          <w:i/>
          <w:iCs/>
          <w:u w:val="double"/>
          <w:lang w:val="en-US"/>
        </w:rPr>
        <w:t>B</w:t>
      </w:r>
      <w:r w:rsidR="00244F51" w:rsidRPr="00AA5E0A">
        <w:rPr>
          <w:i/>
          <w:iCs/>
          <w:u w:val="double"/>
          <w:lang w:val="en-US"/>
        </w:rPr>
        <w:t>. </w:t>
      </w:r>
      <w:r w:rsidRPr="00AA5E0A">
        <w:rPr>
          <w:i/>
          <w:iCs/>
          <w:u w:val="double"/>
          <w:lang w:val="en-US"/>
        </w:rPr>
        <w:t xml:space="preserve">anthracis </w:t>
      </w:r>
      <w:r w:rsidRPr="00AA5E0A">
        <w:rPr>
          <w:u w:val="double"/>
          <w:lang w:val="en-US"/>
        </w:rPr>
        <w:t>in field-collected blood smears. Four capsule</w:t>
      </w:r>
      <w:r w:rsidR="00244F51" w:rsidRPr="00AA5E0A">
        <w:rPr>
          <w:u w:val="double"/>
          <w:lang w:val="en-US"/>
        </w:rPr>
        <w:t>-</w:t>
      </w:r>
      <w:r w:rsidRPr="00AA5E0A">
        <w:rPr>
          <w:u w:val="double"/>
          <w:lang w:val="en-US"/>
        </w:rPr>
        <w:t xml:space="preserve">staining techniques were evaluated </w:t>
      </w:r>
      <w:r w:rsidR="00244F51" w:rsidRPr="00AA5E0A">
        <w:rPr>
          <w:u w:val="double"/>
          <w:lang w:val="en-US"/>
        </w:rPr>
        <w:t>in</w:t>
      </w:r>
      <w:r w:rsidRPr="00AA5E0A">
        <w:rPr>
          <w:u w:val="double"/>
        </w:rPr>
        <w:t xml:space="preserve"> an investigation of </w:t>
      </w:r>
      <w:r w:rsidRPr="00AA5E0A">
        <w:rPr>
          <w:u w:val="double"/>
          <w:lang w:val="en-US"/>
        </w:rPr>
        <w:t xml:space="preserve">livestock mortalities suspected to be caused by anthrax. Field-prepared blood samples were tested by microscopy and the results indicated that the median sensitivity and specificity of microscopy using azure B were found to be comparable </w:t>
      </w:r>
      <w:r w:rsidR="00BA3A0F" w:rsidRPr="00AA5E0A">
        <w:rPr>
          <w:u w:val="double"/>
          <w:lang w:val="en-US"/>
        </w:rPr>
        <w:t>with</w:t>
      </w:r>
      <w:r w:rsidRPr="00AA5E0A">
        <w:rPr>
          <w:u w:val="double"/>
          <w:lang w:val="en-US"/>
        </w:rPr>
        <w:t xml:space="preserve"> those of the recommended standard, polychrome methylene blue (Aminu </w:t>
      </w:r>
      <w:r w:rsidRPr="00AA5E0A">
        <w:rPr>
          <w:i/>
          <w:iCs/>
          <w:u w:val="double"/>
          <w:lang w:val="en-US"/>
        </w:rPr>
        <w:t>et al.</w:t>
      </w:r>
      <w:r w:rsidRPr="00AA5E0A">
        <w:rPr>
          <w:u w:val="double"/>
          <w:lang w:val="en-US"/>
        </w:rPr>
        <w:t xml:space="preserve"> 2020).</w:t>
      </w:r>
    </w:p>
    <w:p w14:paraId="403D66C5" w14:textId="351391F1" w:rsidR="00E569E7" w:rsidRPr="00AA5E0A" w:rsidRDefault="00E569E7" w:rsidP="00E569E7">
      <w:pPr>
        <w:pStyle w:val="111Para"/>
        <w:rPr>
          <w:u w:val="double"/>
          <w:lang w:val="en-US"/>
        </w:rPr>
      </w:pPr>
      <w:r w:rsidRPr="00AA5E0A">
        <w:rPr>
          <w:u w:val="double"/>
          <w:lang w:val="en-US"/>
        </w:rPr>
        <w:t>Azure B stain is prepared by constituting into a solution of 0.03 g azure B in 3 ml of 95% ethanol or methanol to which is then added 10 ml of 0.01% KOH (0.23% final azure B concentration). This can then be used immediately and throughout the tests. If stored in the dark at room temperature, the shelf life is at least 12 months. Smears to be stained should be fixed with ethanol or methanol (95–100%), not by heat, and the stain left for 5 min</w:t>
      </w:r>
      <w:r w:rsidR="00AA5E0A" w:rsidRPr="00AA5E0A">
        <w:rPr>
          <w:u w:val="double"/>
          <w:lang w:val="en-US"/>
        </w:rPr>
        <w:t>utes</w:t>
      </w:r>
      <w:r w:rsidRPr="00AA5E0A">
        <w:rPr>
          <w:u w:val="double"/>
          <w:lang w:val="en-US"/>
        </w:rPr>
        <w:t xml:space="preserve"> before washing off for optimum effect (Owen </w:t>
      </w:r>
      <w:r w:rsidRPr="00AA5E0A">
        <w:rPr>
          <w:i/>
          <w:iCs/>
          <w:u w:val="double"/>
          <w:lang w:val="en-US"/>
        </w:rPr>
        <w:t>et al.</w:t>
      </w:r>
      <w:r w:rsidR="00244F51" w:rsidRPr="00AA5E0A">
        <w:rPr>
          <w:i/>
          <w:iCs/>
          <w:u w:val="double"/>
          <w:lang w:val="en-US"/>
        </w:rPr>
        <w:t>,</w:t>
      </w:r>
      <w:r w:rsidRPr="00AA5E0A">
        <w:rPr>
          <w:u w:val="double"/>
          <w:lang w:val="en-US"/>
        </w:rPr>
        <w:t xml:space="preserve"> 2013).</w:t>
      </w:r>
    </w:p>
    <w:p w14:paraId="59B419D6" w14:textId="32C9613D" w:rsidR="00B40CBD" w:rsidRPr="00AA5E0A" w:rsidRDefault="00B40CBD" w:rsidP="00E45A97">
      <w:pPr>
        <w:pStyle w:val="111Para"/>
        <w:rPr>
          <w:lang w:val="en-IE"/>
        </w:rPr>
      </w:pPr>
      <w:r w:rsidRPr="00AA5E0A">
        <w:rPr>
          <w:lang w:val="en-IE"/>
        </w:rPr>
        <w:t>In making smears for staining, only small drops of blood or tissue fluid are needed</w:t>
      </w:r>
      <w:r w:rsidR="00244F51" w:rsidRPr="00AA5E0A">
        <w:rPr>
          <w:lang w:val="en-IE"/>
        </w:rPr>
        <w:t>,</w:t>
      </w:r>
      <w:r w:rsidRPr="00AA5E0A">
        <w:rPr>
          <w:lang w:val="en-IE"/>
        </w:rPr>
        <w:t xml:space="preserve"> and a thin, small smear is best. After fixing </w:t>
      </w:r>
      <w:r w:rsidRPr="00AA5E0A">
        <w:rPr>
          <w:strike/>
          <w:lang w:val="en-IE"/>
        </w:rPr>
        <w:t xml:space="preserve">(either using heat or </w:t>
      </w:r>
      <w:r w:rsidRPr="00AA5E0A">
        <w:rPr>
          <w:lang w:val="en-IE"/>
        </w:rPr>
        <w:t xml:space="preserve">by dipping the smear in 95–100% alcohol for about </w:t>
      </w:r>
      <w:r w:rsidR="00244F51" w:rsidRPr="00AA5E0A">
        <w:rPr>
          <w:u w:val="double"/>
          <w:lang w:val="en-IE"/>
        </w:rPr>
        <w:t>5</w:t>
      </w:r>
      <w:r w:rsidR="00244F51" w:rsidRPr="00AA5E0A">
        <w:rPr>
          <w:lang w:val="en-IE"/>
        </w:rPr>
        <w:t xml:space="preserve"> </w:t>
      </w:r>
      <w:r w:rsidRPr="00AA5E0A">
        <w:rPr>
          <w:strike/>
          <w:lang w:val="en-IE"/>
        </w:rPr>
        <w:t>1 </w:t>
      </w:r>
      <w:r w:rsidRPr="00AA5E0A">
        <w:rPr>
          <w:lang w:val="en-IE"/>
        </w:rPr>
        <w:t>minute</w:t>
      </w:r>
      <w:r w:rsidR="00244F51" w:rsidRPr="00AA5E0A">
        <w:rPr>
          <w:u w:val="double"/>
          <w:lang w:val="en-IE"/>
        </w:rPr>
        <w:t>s</w:t>
      </w:r>
      <w:r w:rsidRPr="00AA5E0A">
        <w:rPr>
          <w:strike/>
          <w:lang w:val="en-IE"/>
        </w:rPr>
        <w:t>)</w:t>
      </w:r>
      <w:r w:rsidRPr="00AA5E0A">
        <w:rPr>
          <w:lang w:val="en-IE"/>
        </w:rPr>
        <w:t xml:space="preserve"> and drying, a small (approximately 20 µl) drop of stain is placed on the smear and spread over it with an inoculating loop. After </w:t>
      </w:r>
      <w:r w:rsidR="00244F51" w:rsidRPr="00AA5E0A">
        <w:rPr>
          <w:u w:val="double"/>
          <w:lang w:val="en-IE"/>
        </w:rPr>
        <w:t>5</w:t>
      </w:r>
      <w:r w:rsidR="00244F51" w:rsidRPr="00AA5E0A">
        <w:rPr>
          <w:lang w:val="en-IE"/>
        </w:rPr>
        <w:t xml:space="preserve"> </w:t>
      </w:r>
      <w:r w:rsidR="00244F51" w:rsidRPr="00AA5E0A">
        <w:rPr>
          <w:strike/>
          <w:lang w:val="en-IE"/>
        </w:rPr>
        <w:t>1 </w:t>
      </w:r>
      <w:r w:rsidR="00244F51" w:rsidRPr="00AA5E0A">
        <w:rPr>
          <w:lang w:val="en-IE"/>
        </w:rPr>
        <w:t>minute</w:t>
      </w:r>
      <w:r w:rsidR="00244F51" w:rsidRPr="00AA5E0A">
        <w:rPr>
          <w:u w:val="double"/>
          <w:lang w:val="en-IE"/>
        </w:rPr>
        <w:t>s</w:t>
      </w:r>
      <w:r w:rsidRPr="00AA5E0A">
        <w:rPr>
          <w:lang w:val="en-IE"/>
        </w:rPr>
        <w:t>, the stain is washed with water, blotted, air-dried</w:t>
      </w:r>
      <w:r w:rsidR="00244F51" w:rsidRPr="00AA5E0A">
        <w:rPr>
          <w:lang w:val="en-IE"/>
        </w:rPr>
        <w:t>,</w:t>
      </w:r>
      <w:r w:rsidRPr="00AA5E0A">
        <w:rPr>
          <w:lang w:val="en-IE"/>
        </w:rPr>
        <w:t xml:space="preserve"> and observed initially using the ×10 objective lens under which the short chains appear like short hairs; once found, these can be observed under oil immersion (×1000) for the presence of the pink capsule surrounding the blue/black-staining bacilli. To avoid laboratory contamination, the slide and blotting paper should be autoclaved or left for some hours in a 10% sodium hypochlorite solution.</w:t>
      </w:r>
    </w:p>
    <w:p w14:paraId="59B419D7" w14:textId="77777777" w:rsidR="00B40CBD" w:rsidRPr="00AA5E0A" w:rsidRDefault="001B2579" w:rsidP="00E45A97">
      <w:pPr>
        <w:pStyle w:val="111"/>
        <w:rPr>
          <w:lang w:val="en-IE"/>
        </w:rPr>
      </w:pPr>
      <w:r w:rsidRPr="00AA5E0A">
        <w:rPr>
          <w:lang w:val="en-IE"/>
        </w:rPr>
        <w:t>1.1.3.</w:t>
      </w:r>
      <w:r w:rsidR="00B40CBD" w:rsidRPr="00AA5E0A">
        <w:rPr>
          <w:lang w:val="en-IE"/>
        </w:rPr>
        <w:tab/>
        <w:t>Other specimens</w:t>
      </w:r>
    </w:p>
    <w:p w14:paraId="59B419D8" w14:textId="77777777" w:rsidR="00B40CBD" w:rsidRPr="00AA5E0A" w:rsidRDefault="00B40CBD" w:rsidP="00E45A97">
      <w:pPr>
        <w:pStyle w:val="111Para"/>
        <w:rPr>
          <w:lang w:val="en-IE"/>
        </w:rPr>
      </w:pPr>
      <w:r w:rsidRPr="00AA5E0A">
        <w:rPr>
          <w:lang w:val="en-IE"/>
        </w:rPr>
        <w:t xml:space="preserve">Identification of </w:t>
      </w:r>
      <w:r w:rsidRPr="00AA5E0A">
        <w:rPr>
          <w:i/>
          <w:iCs/>
          <w:lang w:val="en-IE"/>
        </w:rPr>
        <w:t xml:space="preserve">B. anthracis </w:t>
      </w:r>
      <w:r w:rsidRPr="00AA5E0A">
        <w:rPr>
          <w:lang w:val="en-IE"/>
        </w:rPr>
        <w:t xml:space="preserve">from old, decomposed specimens, processed materials, and environmental samples, including soil, is possible but these samples often have saprophytic contaminants that outgrow and obscure </w:t>
      </w:r>
      <w:r w:rsidRPr="00AA5E0A">
        <w:rPr>
          <w:i/>
          <w:iCs/>
          <w:lang w:val="en-IE"/>
        </w:rPr>
        <w:t>B. anthracis</w:t>
      </w:r>
      <w:r w:rsidRPr="00AA5E0A">
        <w:rPr>
          <w:lang w:val="en-IE"/>
        </w:rPr>
        <w:t xml:space="preserve"> on non-selective agars. The following procedure is suggested:</w:t>
      </w:r>
    </w:p>
    <w:p w14:paraId="59B419D9" w14:textId="0EC6C832" w:rsidR="00B40CBD" w:rsidRPr="00AA5E0A" w:rsidRDefault="001B2579" w:rsidP="00E45A97">
      <w:pPr>
        <w:pStyle w:val="i"/>
      </w:pPr>
      <w:r w:rsidRPr="00AA5E0A">
        <w:t>i</w:t>
      </w:r>
      <w:r w:rsidR="00B40CBD" w:rsidRPr="00AA5E0A">
        <w:t>)</w:t>
      </w:r>
      <w:r w:rsidR="00B40CBD" w:rsidRPr="00AA5E0A">
        <w:tab/>
        <w:t xml:space="preserve">The sample is blended in two volumes of sterile distilled or deionised water and placed in a water bath at 62.5 ± 0.5°C for </w:t>
      </w:r>
      <w:r w:rsidR="00EB1E16" w:rsidRPr="00AA5E0A">
        <w:t>15</w:t>
      </w:r>
      <w:r w:rsidR="000700DD" w:rsidRPr="00AA5E0A">
        <w:t>–</w:t>
      </w:r>
      <w:r w:rsidR="00B40CBD" w:rsidRPr="00AA5E0A">
        <w:t xml:space="preserve">30 minutes. Turnbull </w:t>
      </w:r>
      <w:r w:rsidR="00B40CBD" w:rsidRPr="00AA5E0A">
        <w:rPr>
          <w:i/>
        </w:rPr>
        <w:t>et al.</w:t>
      </w:r>
      <w:r w:rsidR="00B40CBD" w:rsidRPr="00AA5E0A">
        <w:t xml:space="preserve"> (2007) have demonstrated that heat activation of spores can be conducted at a temperature range of 60–70°C with holding times not exceeding 15–30 minutes for best recovery.</w:t>
      </w:r>
    </w:p>
    <w:p w14:paraId="59B419DA" w14:textId="72E85465" w:rsidR="00B40CBD" w:rsidRPr="00BE7ACA" w:rsidRDefault="001B2579" w:rsidP="00E45A97">
      <w:pPr>
        <w:pStyle w:val="i"/>
      </w:pPr>
      <w:r w:rsidRPr="00AA5E0A">
        <w:t>ii</w:t>
      </w:r>
      <w:r w:rsidR="00B40CBD" w:rsidRPr="00AA5E0A">
        <w:t>)</w:t>
      </w:r>
      <w:r w:rsidR="00B40CBD" w:rsidRPr="00AA5E0A">
        <w:tab/>
      </w:r>
      <w:r w:rsidR="00B40CBD" w:rsidRPr="00BE7ACA">
        <w:t>Tenfold dilutions to 10</w:t>
      </w:r>
      <w:r w:rsidR="00B40CBD" w:rsidRPr="00BE7ACA">
        <w:rPr>
          <w:szCs w:val="14"/>
          <w:vertAlign w:val="superscript"/>
        </w:rPr>
        <w:t>–2</w:t>
      </w:r>
      <w:r w:rsidR="00B40CBD" w:rsidRPr="00BE7ACA">
        <w:t xml:space="preserve"> or 10</w:t>
      </w:r>
      <w:r w:rsidR="00B40CBD" w:rsidRPr="00BE7ACA">
        <w:rPr>
          <w:szCs w:val="14"/>
          <w:vertAlign w:val="superscript"/>
        </w:rPr>
        <w:t>–3</w:t>
      </w:r>
      <w:r w:rsidR="00B40CBD" w:rsidRPr="00BE7ACA">
        <w:t xml:space="preserve"> are then prepared. From each dilution, 10–100 </w:t>
      </w:r>
      <w:r w:rsidR="00B40CBD" w:rsidRPr="00BE7ACA">
        <w:rPr>
          <w:rFonts w:ascii="Calibri" w:hAnsi="Calibri" w:cs="Calibri"/>
        </w:rPr>
        <w:t>µ</w:t>
      </w:r>
      <w:r w:rsidR="00B40CBD" w:rsidRPr="00BE7ACA">
        <w:t>l are plated on to blood agar and optionally 250</w:t>
      </w:r>
      <w:r w:rsidR="00B40CBD" w:rsidRPr="00BE7ACA">
        <w:rPr>
          <w:rFonts w:cs="Söhne"/>
        </w:rPr>
        <w:t>–</w:t>
      </w:r>
      <w:r w:rsidR="00B40CBD" w:rsidRPr="00BE7ACA">
        <w:t>300</w:t>
      </w:r>
      <w:r w:rsidR="00B40CBD" w:rsidRPr="00BE7ACA">
        <w:rPr>
          <w:rFonts w:cs="Söhne"/>
        </w:rPr>
        <w:t> </w:t>
      </w:r>
      <w:r w:rsidR="00B40CBD" w:rsidRPr="00BE7ACA">
        <w:rPr>
          <w:rFonts w:ascii="Calibri" w:hAnsi="Calibri" w:cs="Calibri"/>
        </w:rPr>
        <w:t>µ</w:t>
      </w:r>
      <w:r w:rsidR="00B40CBD" w:rsidRPr="00BE7ACA">
        <w:t>l on to PLET agar (polymyxin, lysozyme, EDTA [ethylene diamine tetra-acetic acid], thallous acetate) (</w:t>
      </w:r>
      <w:proofErr w:type="spellStart"/>
      <w:r w:rsidR="00B40CBD" w:rsidRPr="00BE7ACA">
        <w:t>Knisely</w:t>
      </w:r>
      <w:proofErr w:type="spellEnd"/>
      <w:r w:rsidR="00B40CBD" w:rsidRPr="00BE7ACA">
        <w:t>, 1966; WHO, 2008). All plates are incubated at 37</w:t>
      </w:r>
      <w:r w:rsidR="00B40CBD" w:rsidRPr="00BE7ACA">
        <w:rPr>
          <w:rFonts w:cs="Söhne"/>
        </w:rPr>
        <w:t>°</w:t>
      </w:r>
      <w:r w:rsidR="00B40CBD" w:rsidRPr="00BE7ACA">
        <w:t xml:space="preserve">C. </w:t>
      </w:r>
      <w:r w:rsidR="00737219" w:rsidRPr="00BE7ACA">
        <w:rPr>
          <w:rFonts w:eastAsia="MS Mincho"/>
          <w:highlight w:val="yellow"/>
          <w:u w:val="double"/>
          <w:lang w:val="en-IE" w:eastAsia="fr-FR"/>
        </w:rPr>
        <w:t>For combined selection and differentiation, blood agar-based media can provide advantages. In addition, PLET agar contains the toxic thallium acetate. An alternative for this is the so-called TSPB agar, a blood agar that has high selectivity against Gram-negative bacteria due to the addition of trimethoprim, sulfamethoxazole and polymyxin B</w:t>
      </w:r>
      <w:r w:rsidR="00F22199">
        <w:rPr>
          <w:rFonts w:eastAsia="MS Mincho"/>
          <w:highlight w:val="yellow"/>
          <w:u w:val="double"/>
          <w:lang w:val="en-IE" w:eastAsia="fr-FR"/>
        </w:rPr>
        <w:t xml:space="preserve"> (Hudson </w:t>
      </w:r>
      <w:r w:rsidR="00F22199" w:rsidRPr="00F22199">
        <w:rPr>
          <w:rFonts w:eastAsia="MS Mincho"/>
          <w:i/>
          <w:iCs/>
          <w:highlight w:val="yellow"/>
          <w:u w:val="double"/>
          <w:lang w:val="en-IE" w:eastAsia="fr-FR"/>
        </w:rPr>
        <w:t>et al.,</w:t>
      </w:r>
      <w:r w:rsidR="00F22199">
        <w:rPr>
          <w:rFonts w:eastAsia="MS Mincho"/>
          <w:highlight w:val="yellow"/>
          <w:u w:val="double"/>
          <w:lang w:val="en-IE" w:eastAsia="fr-FR"/>
        </w:rPr>
        <w:t xml:space="preserve"> 200</w:t>
      </w:r>
      <w:r w:rsidR="00D251C8">
        <w:rPr>
          <w:rFonts w:eastAsia="MS Mincho"/>
          <w:highlight w:val="yellow"/>
          <w:u w:val="double"/>
          <w:lang w:val="en-IE" w:eastAsia="fr-FR"/>
        </w:rPr>
        <w:t>7</w:t>
      </w:r>
      <w:r w:rsidR="00F22199">
        <w:rPr>
          <w:rFonts w:eastAsia="MS Mincho"/>
          <w:highlight w:val="yellow"/>
          <w:u w:val="double"/>
          <w:lang w:val="en-IE" w:eastAsia="fr-FR"/>
        </w:rPr>
        <w:t>; Rosenblatt &amp; Stewart, 1974)</w:t>
      </w:r>
      <w:r w:rsidR="00737219" w:rsidRPr="00BE7ACA">
        <w:rPr>
          <w:rFonts w:eastAsia="MS Mincho"/>
          <w:highlight w:val="yellow"/>
          <w:u w:val="double"/>
          <w:lang w:val="en-IE" w:eastAsia="fr-FR"/>
        </w:rPr>
        <w:t>. TSPB agar is prepared by dissolving 40 g/l</w:t>
      </w:r>
      <w:r w:rsidR="00BE7ACA" w:rsidRPr="00BE7ACA">
        <w:rPr>
          <w:rFonts w:eastAsia="MS Mincho"/>
          <w:highlight w:val="yellow"/>
          <w:u w:val="double"/>
          <w:lang w:val="en-IE" w:eastAsia="fr-FR"/>
        </w:rPr>
        <w:t>itre</w:t>
      </w:r>
      <w:r w:rsidR="00737219" w:rsidRPr="00BE7ACA">
        <w:rPr>
          <w:rFonts w:eastAsia="MS Mincho"/>
          <w:highlight w:val="yellow"/>
          <w:u w:val="double"/>
          <w:lang w:val="en-IE" w:eastAsia="fr-FR"/>
        </w:rPr>
        <w:t xml:space="preserve"> nutrient agar base (e.g. SIFIN). The mixture is autoclaved and uniformly cooled to 45°C before adding 50 ml/l</w:t>
      </w:r>
      <w:r w:rsidR="00BE7ACA" w:rsidRPr="00BE7ACA">
        <w:rPr>
          <w:rFonts w:eastAsia="MS Mincho"/>
          <w:highlight w:val="yellow"/>
          <w:u w:val="double"/>
          <w:lang w:val="en-IE" w:eastAsia="fr-FR"/>
        </w:rPr>
        <w:t>itre</w:t>
      </w:r>
      <w:r w:rsidR="00737219" w:rsidRPr="00BE7ACA">
        <w:rPr>
          <w:rFonts w:eastAsia="MS Mincho"/>
          <w:highlight w:val="yellow"/>
          <w:u w:val="double"/>
          <w:lang w:val="en-IE" w:eastAsia="fr-FR"/>
        </w:rPr>
        <w:t xml:space="preserve"> sterile sheep blood (5%), trimethoprim (13.1</w:t>
      </w:r>
      <w:r w:rsidR="009E7C43">
        <w:rPr>
          <w:rFonts w:eastAsia="MS Mincho"/>
          <w:highlight w:val="yellow"/>
          <w:u w:val="double"/>
          <w:lang w:val="en-IE" w:eastAsia="fr-FR"/>
        </w:rPr>
        <w:t> </w:t>
      </w:r>
      <w:r w:rsidR="00737219" w:rsidRPr="00BE7ACA">
        <w:rPr>
          <w:rFonts w:eastAsia="MS Mincho"/>
          <w:highlight w:val="yellow"/>
          <w:u w:val="double"/>
          <w:lang w:val="en-IE" w:eastAsia="fr-FR"/>
        </w:rPr>
        <w:t>mg/l</w:t>
      </w:r>
      <w:r w:rsidR="00BE7ACA" w:rsidRPr="00BE7ACA">
        <w:rPr>
          <w:rFonts w:eastAsia="MS Mincho"/>
          <w:highlight w:val="yellow"/>
          <w:u w:val="double"/>
          <w:lang w:val="en-IE" w:eastAsia="fr-FR"/>
        </w:rPr>
        <w:t>itre</w:t>
      </w:r>
      <w:r w:rsidR="00737219" w:rsidRPr="00BE7ACA">
        <w:rPr>
          <w:rFonts w:eastAsia="MS Mincho"/>
          <w:highlight w:val="yellow"/>
          <w:u w:val="double"/>
          <w:lang w:val="en-IE" w:eastAsia="fr-FR"/>
        </w:rPr>
        <w:t>), sulfamethoxazole (20 mg/l</w:t>
      </w:r>
      <w:r w:rsidR="00BE7ACA" w:rsidRPr="00BE7ACA">
        <w:rPr>
          <w:rFonts w:eastAsia="MS Mincho"/>
          <w:highlight w:val="yellow"/>
          <w:u w:val="double"/>
          <w:lang w:val="en-IE" w:eastAsia="fr-FR"/>
        </w:rPr>
        <w:t>itre</w:t>
      </w:r>
      <w:r w:rsidR="00737219" w:rsidRPr="00BE7ACA">
        <w:rPr>
          <w:rFonts w:eastAsia="MS Mincho"/>
          <w:highlight w:val="yellow"/>
          <w:u w:val="double"/>
          <w:lang w:val="en-IE" w:eastAsia="fr-FR"/>
        </w:rPr>
        <w:t>) and polymyxin B (30,000 IU/l</w:t>
      </w:r>
      <w:r w:rsidR="00BE7ACA" w:rsidRPr="00BE7ACA">
        <w:rPr>
          <w:rFonts w:eastAsia="MS Mincho"/>
          <w:highlight w:val="yellow"/>
          <w:u w:val="double"/>
          <w:lang w:val="en-IE" w:eastAsia="fr-FR"/>
        </w:rPr>
        <w:t>itre</w:t>
      </w:r>
      <w:r w:rsidR="00737219" w:rsidRPr="00BE7ACA">
        <w:rPr>
          <w:rFonts w:eastAsia="MS Mincho"/>
          <w:highlight w:val="yellow"/>
          <w:u w:val="double"/>
          <w:lang w:val="en-IE" w:eastAsia="fr-FR"/>
        </w:rPr>
        <w:t>). After mixing thoroughly, the agar is dispensed into Petri dishes</w:t>
      </w:r>
    </w:p>
    <w:p w14:paraId="59B419DB" w14:textId="61661281" w:rsidR="00B40CBD" w:rsidRPr="00AA5E0A" w:rsidRDefault="001B2579" w:rsidP="00E45A97">
      <w:pPr>
        <w:pStyle w:val="i"/>
        <w:rPr>
          <w:rStyle w:val="iparalastCar"/>
        </w:rPr>
      </w:pPr>
      <w:r w:rsidRPr="00AA5E0A">
        <w:t>iii</w:t>
      </w:r>
      <w:r w:rsidR="00B40CBD" w:rsidRPr="00AA5E0A">
        <w:t>)</w:t>
      </w:r>
      <w:r w:rsidR="00B40CBD" w:rsidRPr="00AA5E0A">
        <w:tab/>
        <w:t>Blood agar plates are examined for typical colonies as previously described after overnight incubation, and the PLET plates are examined after 40</w:t>
      </w:r>
      <w:r w:rsidR="00800AC0" w:rsidRPr="00AA5E0A">
        <w:t>–</w:t>
      </w:r>
      <w:r w:rsidR="00B40CBD" w:rsidRPr="00AA5E0A">
        <w:t xml:space="preserve">48 hours. Confirmation of the identity of suspect colonies </w:t>
      </w:r>
      <w:r w:rsidR="00B40CBD" w:rsidRPr="00AA5E0A">
        <w:rPr>
          <w:rStyle w:val="iparalastCar"/>
        </w:rPr>
        <w:t xml:space="preserve">as </w:t>
      </w:r>
      <w:r w:rsidR="00B40CBD" w:rsidRPr="00AA5E0A">
        <w:rPr>
          <w:rStyle w:val="iparalastCar"/>
          <w:i/>
        </w:rPr>
        <w:t>B. anthracis</w:t>
      </w:r>
      <w:r w:rsidR="00B40CBD" w:rsidRPr="00AA5E0A">
        <w:rPr>
          <w:rStyle w:val="iparalastCar"/>
        </w:rPr>
        <w:t xml:space="preserve"> is done as described above. </w:t>
      </w:r>
    </w:p>
    <w:p w14:paraId="59B419DC" w14:textId="1FD05737" w:rsidR="00B40CBD" w:rsidRPr="00AA5E0A" w:rsidRDefault="00B40CBD" w:rsidP="00E45A97">
      <w:pPr>
        <w:pStyle w:val="111Para"/>
        <w:rPr>
          <w:lang w:val="en-IE"/>
        </w:rPr>
      </w:pPr>
      <w:r w:rsidRPr="00AA5E0A">
        <w:rPr>
          <w:lang w:val="en-IE"/>
        </w:rPr>
        <w:t>PLET medium (</w:t>
      </w:r>
      <w:proofErr w:type="spellStart"/>
      <w:r w:rsidRPr="00AA5E0A">
        <w:rPr>
          <w:lang w:val="en-IE"/>
        </w:rPr>
        <w:t>Knisely</w:t>
      </w:r>
      <w:proofErr w:type="spellEnd"/>
      <w:r w:rsidRPr="00AA5E0A">
        <w:rPr>
          <w:lang w:val="en-IE"/>
        </w:rPr>
        <w:t xml:space="preserve">, 1966; WHO, </w:t>
      </w:r>
      <w:r w:rsidRPr="00AA5E0A">
        <w:rPr>
          <w:smallCaps/>
          <w:lang w:val="en-IE"/>
        </w:rPr>
        <w:t>2008</w:t>
      </w:r>
      <w:r w:rsidRPr="00AA5E0A">
        <w:rPr>
          <w:lang w:val="en-IE"/>
        </w:rPr>
        <w:t xml:space="preserve">) is prepared by using heart-infusion agar base (DIFCO) made up to the manufacturer’s instructions with the addition of 0.25–0.3 g/litre EDTA and 0.04 g/litre thallous acetate. The mixture is autoclaved and uniformly cooled to 50°C before adding the polymyxin at </w:t>
      </w:r>
      <w:r w:rsidR="003B254D">
        <w:rPr>
          <w:lang w:val="en-IE"/>
        </w:rPr>
        <w:t>o</w:t>
      </w:r>
      <w:r w:rsidRPr="00AA5E0A">
        <w:rPr>
          <w:lang w:val="en-IE"/>
        </w:rPr>
        <w:t>30,000 units/litre and lysozyme at 300,000 units/litre. After mixing thoroughly, the agar is dispensed into Petri dishes.</w:t>
      </w:r>
    </w:p>
    <w:p w14:paraId="59B419DD" w14:textId="77777777" w:rsidR="00B40CBD" w:rsidRPr="00AA5E0A" w:rsidRDefault="00B40CBD" w:rsidP="00E45A97">
      <w:pPr>
        <w:pStyle w:val="111Para"/>
        <w:rPr>
          <w:lang w:val="en-IE"/>
        </w:rPr>
      </w:pPr>
      <w:r w:rsidRPr="00AA5E0A">
        <w:rPr>
          <w:lang w:val="en-IE"/>
        </w:rPr>
        <w:lastRenderedPageBreak/>
        <w:t xml:space="preserve">Reports of procedures for direct detection of </w:t>
      </w:r>
      <w:r w:rsidRPr="00AA5E0A">
        <w:rPr>
          <w:i/>
          <w:iCs/>
          <w:lang w:val="en-IE"/>
        </w:rPr>
        <w:t>B. anthracis</w:t>
      </w:r>
      <w:r w:rsidRPr="00AA5E0A">
        <w:rPr>
          <w:lang w:val="en-IE"/>
        </w:rPr>
        <w:t xml:space="preserve"> in soils and other environmental specimens using the PCR are emerging. None of these has become routinely applicable at the present time. </w:t>
      </w:r>
    </w:p>
    <w:p w14:paraId="59B419DE" w14:textId="19E28996" w:rsidR="00B40CBD" w:rsidRPr="00AA5E0A" w:rsidRDefault="00B40CBD" w:rsidP="00E45A97">
      <w:pPr>
        <w:pStyle w:val="111Para"/>
        <w:rPr>
          <w:lang w:val="en-IE"/>
        </w:rPr>
      </w:pPr>
      <w:r w:rsidRPr="00AA5E0A">
        <w:rPr>
          <w:lang w:val="en-IE"/>
        </w:rPr>
        <w:t xml:space="preserve">Animal inoculation may be considered for recovery of </w:t>
      </w:r>
      <w:r w:rsidRPr="00AA5E0A">
        <w:rPr>
          <w:i/>
          <w:iCs/>
          <w:lang w:val="en-IE"/>
        </w:rPr>
        <w:t xml:space="preserve">B. anthracis </w:t>
      </w:r>
      <w:r w:rsidRPr="00AA5E0A">
        <w:rPr>
          <w:lang w:val="en-IE"/>
        </w:rPr>
        <w:t xml:space="preserve">if all other methods fail. Examples of when this might occur are specimens from animals that received antibiotic therapy before death or environmental samples containing </w:t>
      </w:r>
      <w:proofErr w:type="spellStart"/>
      <w:r w:rsidRPr="00AA5E0A">
        <w:rPr>
          <w:lang w:val="en-IE"/>
        </w:rPr>
        <w:t>sporostatic</w:t>
      </w:r>
      <w:proofErr w:type="spellEnd"/>
      <w:r w:rsidRPr="00AA5E0A">
        <w:rPr>
          <w:lang w:val="en-IE"/>
        </w:rPr>
        <w:t xml:space="preserve"> chemicals. Due to the increasing concern to eliminate the use of animals for biological testing, this approach should be used as a last resort and only if justified. Adult mice or guinea-pigs are the animals of choice. If the samples involved are soils, the animals should be </w:t>
      </w:r>
      <w:proofErr w:type="spellStart"/>
      <w:r w:rsidRPr="00AA5E0A">
        <w:rPr>
          <w:lang w:val="en-IE"/>
        </w:rPr>
        <w:t>pretreated</w:t>
      </w:r>
      <w:proofErr w:type="spellEnd"/>
      <w:r w:rsidRPr="00AA5E0A">
        <w:rPr>
          <w:lang w:val="en-IE"/>
        </w:rPr>
        <w:t>, the day before testing, with both tetanus and gas gangrene antiserum. The samples are prepared as described for culturing, including heat-shocking at 62.5°C for 15 minutes. Mice are injected subcutaneously with 0.05</w:t>
      </w:r>
      <w:r w:rsidR="00800AC0" w:rsidRPr="00AA5E0A">
        <w:rPr>
          <w:lang w:val="en-IE"/>
        </w:rPr>
        <w:t>–</w:t>
      </w:r>
      <w:r w:rsidRPr="00AA5E0A">
        <w:rPr>
          <w:lang w:val="en-IE"/>
        </w:rPr>
        <w:t>0.1 ml; guinea</w:t>
      </w:r>
      <w:r w:rsidR="006E4A91" w:rsidRPr="00AA5E0A">
        <w:rPr>
          <w:lang w:val="en-IE"/>
        </w:rPr>
        <w:t>-</w:t>
      </w:r>
      <w:r w:rsidRPr="00AA5E0A">
        <w:rPr>
          <w:lang w:val="en-IE"/>
        </w:rPr>
        <w:t xml:space="preserve">pigs are inoculated intramuscularly with up to 0.4 ml (0.2 ml in each thigh muscle). Any </w:t>
      </w:r>
      <w:r w:rsidRPr="00AA5E0A">
        <w:rPr>
          <w:i/>
          <w:iCs/>
          <w:lang w:val="en-IE"/>
        </w:rPr>
        <w:t xml:space="preserve">B. anthracis </w:t>
      </w:r>
      <w:r w:rsidRPr="00AA5E0A">
        <w:rPr>
          <w:lang w:val="en-IE"/>
        </w:rPr>
        <w:t>present will result in death in 48–72 hours and the organism can be cultured from the blood as described above.</w:t>
      </w:r>
    </w:p>
    <w:p w14:paraId="59B419DF" w14:textId="77777777" w:rsidR="00B40CBD" w:rsidRPr="00AA5E0A" w:rsidRDefault="001B2579" w:rsidP="00E45A97">
      <w:pPr>
        <w:pStyle w:val="11"/>
        <w:rPr>
          <w:lang w:val="en-IE"/>
        </w:rPr>
      </w:pPr>
      <w:r w:rsidRPr="00AA5E0A">
        <w:rPr>
          <w:lang w:val="en-IE"/>
        </w:rPr>
        <w:t>1.2.</w:t>
      </w:r>
      <w:r w:rsidR="00B40CBD" w:rsidRPr="00AA5E0A">
        <w:rPr>
          <w:lang w:val="en-IE"/>
        </w:rPr>
        <w:tab/>
        <w:t>Immunological detection and diagnosis</w:t>
      </w:r>
    </w:p>
    <w:p w14:paraId="59B419E0" w14:textId="77777777" w:rsidR="00B40CBD" w:rsidRPr="00AA5E0A" w:rsidRDefault="00B40CBD" w:rsidP="00E45A97">
      <w:pPr>
        <w:pStyle w:val="11Para"/>
        <w:rPr>
          <w:lang w:val="en-IE"/>
        </w:rPr>
      </w:pPr>
      <w:r w:rsidRPr="00AA5E0A">
        <w:rPr>
          <w:lang w:val="en-IE"/>
        </w:rPr>
        <w:t xml:space="preserve">It needs to be borne in mind that </w:t>
      </w:r>
      <w:r w:rsidRPr="00AA5E0A">
        <w:rPr>
          <w:i/>
          <w:iCs/>
          <w:lang w:val="en-IE"/>
        </w:rPr>
        <w:t>B. anthracis</w:t>
      </w:r>
      <w:r w:rsidRPr="00AA5E0A">
        <w:rPr>
          <w:lang w:val="en-IE"/>
        </w:rPr>
        <w:t xml:space="preserve"> is antigenically very closely related to </w:t>
      </w:r>
      <w:r w:rsidRPr="00AA5E0A">
        <w:rPr>
          <w:i/>
          <w:iCs/>
          <w:lang w:val="en-IE"/>
        </w:rPr>
        <w:t>B. cereus,</w:t>
      </w:r>
      <w:r w:rsidRPr="00AA5E0A">
        <w:rPr>
          <w:lang w:val="en-IE"/>
        </w:rPr>
        <w:t xml:space="preserve"> which is considered a ubiquitous component of the environmental microflora. The only unshared antigens that lend themselves to differentiating these two species by immunological approaches are the anthrax toxin antigens, produced during the exponential phase of growth, and the capsule of </w:t>
      </w:r>
      <w:r w:rsidRPr="00AA5E0A">
        <w:rPr>
          <w:i/>
          <w:iCs/>
          <w:lang w:val="en-IE"/>
        </w:rPr>
        <w:t>B. anthracis</w:t>
      </w:r>
      <w:r w:rsidRPr="00AA5E0A">
        <w:rPr>
          <w:lang w:val="en-IE"/>
        </w:rPr>
        <w:t>. This places considerable constraints on the extent to which immunological methods can be used in routine detection methodology.</w:t>
      </w:r>
    </w:p>
    <w:p w14:paraId="59B419E1" w14:textId="77777777" w:rsidR="00B40CBD" w:rsidRPr="00AA5E0A" w:rsidRDefault="001B2579" w:rsidP="00E45A97">
      <w:pPr>
        <w:pStyle w:val="111"/>
        <w:rPr>
          <w:lang w:val="en-IE"/>
        </w:rPr>
      </w:pPr>
      <w:r w:rsidRPr="00AA5E0A">
        <w:rPr>
          <w:lang w:val="en-IE"/>
        </w:rPr>
        <w:t>1.2.1.</w:t>
      </w:r>
      <w:r w:rsidR="00B40CBD" w:rsidRPr="00AA5E0A">
        <w:rPr>
          <w:lang w:val="en-IE"/>
        </w:rPr>
        <w:tab/>
        <w:t>Ascoli test</w:t>
      </w:r>
    </w:p>
    <w:p w14:paraId="59B419E2" w14:textId="77777777" w:rsidR="00B40CBD" w:rsidRPr="00AA5E0A" w:rsidRDefault="00B40CBD" w:rsidP="00E45A97">
      <w:pPr>
        <w:pStyle w:val="111Para"/>
        <w:rPr>
          <w:lang w:val="en-IE"/>
        </w:rPr>
      </w:pPr>
      <w:r w:rsidRPr="00AA5E0A">
        <w:rPr>
          <w:lang w:val="en-IE"/>
        </w:rPr>
        <w:t xml:space="preserve">Ascoli (1911) published a procedure for the detection of thermostable anthrax antigen in animal tissue being used for by-products. This uses antiserum raised in rabbits to produce a precipitin reaction. The test lacks high specificity, in that the thermostable antigens of </w:t>
      </w:r>
      <w:r w:rsidRPr="00AA5E0A">
        <w:rPr>
          <w:i/>
          <w:iCs/>
          <w:lang w:val="en-IE"/>
        </w:rPr>
        <w:t xml:space="preserve">B. anthracis </w:t>
      </w:r>
      <w:r w:rsidRPr="00AA5E0A">
        <w:rPr>
          <w:lang w:val="en-IE"/>
        </w:rPr>
        <w:t xml:space="preserve">are shared by other </w:t>
      </w:r>
      <w:r w:rsidRPr="00AA5E0A">
        <w:rPr>
          <w:i/>
          <w:iCs/>
          <w:lang w:val="en-IE"/>
        </w:rPr>
        <w:t xml:space="preserve">Bacillus </w:t>
      </w:r>
      <w:r w:rsidRPr="00AA5E0A">
        <w:rPr>
          <w:lang w:val="en-IE"/>
        </w:rPr>
        <w:t xml:space="preserve">spp., and is dependent on the probability that only </w:t>
      </w:r>
      <w:r w:rsidRPr="00AA5E0A">
        <w:rPr>
          <w:i/>
          <w:iCs/>
          <w:lang w:val="en-IE"/>
        </w:rPr>
        <w:t xml:space="preserve">B. anthracis </w:t>
      </w:r>
      <w:r w:rsidRPr="00AA5E0A">
        <w:rPr>
          <w:lang w:val="en-IE"/>
        </w:rPr>
        <w:t>would proliferate throughout the animal and deposit sufficient antigen to give a positive reaction. This test appears to be used only in Eastern Europe.</w:t>
      </w:r>
    </w:p>
    <w:p w14:paraId="59B419E3" w14:textId="77777777" w:rsidR="00B40CBD" w:rsidRPr="00AA5E0A" w:rsidRDefault="00B40CBD" w:rsidP="00E45A97">
      <w:pPr>
        <w:pStyle w:val="111Para"/>
        <w:rPr>
          <w:spacing w:val="-2"/>
          <w:lang w:val="en-IE"/>
        </w:rPr>
      </w:pPr>
      <w:r w:rsidRPr="00AA5E0A">
        <w:rPr>
          <w:spacing w:val="-2"/>
          <w:lang w:val="en-IE"/>
        </w:rPr>
        <w:t>To perform the Ascoli test, put approximately 2 g of sample in 5 ml of saline containing 1/100 final concentration of acetic acid and boil for 5 minutes. The resultant solution is cooled and filtered through filter paper. A few drops of rabbit antiserum (see preparation below) are placed in a small test tube. The filtrate from the previous step is gently layered over the top of the antiserum. A positive test is the formation of a visible precipitin band in under 15 minutes. Positive and negative control specimen suspensions should be included.</w:t>
      </w:r>
    </w:p>
    <w:p w14:paraId="59B419E4" w14:textId="77777777" w:rsidR="00B40CBD" w:rsidRPr="00AA5E0A" w:rsidRDefault="00B40CBD" w:rsidP="00E45A97">
      <w:pPr>
        <w:pStyle w:val="111Para"/>
        <w:rPr>
          <w:b/>
          <w:bCs/>
          <w:lang w:val="en-IE"/>
        </w:rPr>
      </w:pPr>
      <w:r w:rsidRPr="00AA5E0A">
        <w:rPr>
          <w:lang w:val="en-IE"/>
        </w:rPr>
        <w:t xml:space="preserve">Antiserum is prepared in rabbits by the subcutaneous inoculation of Sterne anthrax vaccine on days 1 and 14. On days 28 and 35, the rabbits receive 0.5 ml of a mixture of several strains of virulent </w:t>
      </w:r>
      <w:r w:rsidRPr="00AA5E0A">
        <w:rPr>
          <w:i/>
          <w:iCs/>
          <w:lang w:val="en-IE"/>
        </w:rPr>
        <w:t xml:space="preserve">B. anthracis </w:t>
      </w:r>
      <w:r w:rsidRPr="00AA5E0A">
        <w:rPr>
          <w:lang w:val="en-IE"/>
        </w:rPr>
        <w:t>not exceeding 10</w:t>
      </w:r>
      <w:r w:rsidRPr="00AA5E0A">
        <w:rPr>
          <w:szCs w:val="14"/>
          <w:vertAlign w:val="superscript"/>
          <w:lang w:val="en-IE"/>
        </w:rPr>
        <w:t>5</w:t>
      </w:r>
      <w:r w:rsidRPr="00AA5E0A">
        <w:rPr>
          <w:lang w:val="en-IE"/>
        </w:rPr>
        <w:t> colony-forming units (CFU)/ml suspended in saline. Alternatively, the live virulent bacteria can be inactivated by prolonged suspension in 0.2% formalised saline, but the antigen mass needs to be increased to 10</w:t>
      </w:r>
      <w:r w:rsidRPr="00AA5E0A">
        <w:rPr>
          <w:szCs w:val="14"/>
          <w:vertAlign w:val="superscript"/>
          <w:lang w:val="en-IE"/>
        </w:rPr>
        <w:t>8</w:t>
      </w:r>
      <w:r w:rsidRPr="00AA5E0A">
        <w:rPr>
          <w:lang w:val="en-IE"/>
        </w:rPr>
        <w:t>–10</w:t>
      </w:r>
      <w:r w:rsidRPr="00AA5E0A">
        <w:rPr>
          <w:szCs w:val="14"/>
          <w:vertAlign w:val="superscript"/>
          <w:lang w:val="en-IE"/>
        </w:rPr>
        <w:t>9</w:t>
      </w:r>
      <w:r w:rsidRPr="00AA5E0A">
        <w:rPr>
          <w:lang w:val="en-IE"/>
        </w:rPr>
        <w:t xml:space="preserve"> CFU/ml. The suspension should be checked for inactivation of the </w:t>
      </w:r>
      <w:r w:rsidRPr="00AA5E0A">
        <w:rPr>
          <w:i/>
          <w:iCs/>
          <w:lang w:val="en-IE"/>
        </w:rPr>
        <w:t xml:space="preserve">B. anthracis </w:t>
      </w:r>
      <w:r w:rsidRPr="00AA5E0A">
        <w:rPr>
          <w:lang w:val="en-IE"/>
        </w:rPr>
        <w:t>before animal inoculation by culture of 0.1 ml into 100 ml of nutrient broth containing 0.1% histidine and, after incubation at 37°C for 7 days, subculture on to blood or nutrient agar. The dose regimen for the formalised suspension after initial vaccination on days 1 and 14 is increasing doses of 0.1, 0.5, 1, and 2 ml given intravenously at intervals of 4–5 days. Following either procedure, a test bleed at 10 days after the last injection should determine whether additional 2 ml doses should be administered to boost the precipitin titre.</w:t>
      </w:r>
    </w:p>
    <w:p w14:paraId="59B419E5" w14:textId="77777777" w:rsidR="00B40CBD" w:rsidRPr="00AA5E0A" w:rsidRDefault="001B2579" w:rsidP="00E45A97">
      <w:pPr>
        <w:pStyle w:val="111"/>
        <w:rPr>
          <w:lang w:val="en-IE"/>
        </w:rPr>
      </w:pPr>
      <w:r w:rsidRPr="00AA5E0A">
        <w:rPr>
          <w:lang w:val="en-IE"/>
        </w:rPr>
        <w:t>1.2.2.</w:t>
      </w:r>
      <w:r w:rsidR="00B40CBD" w:rsidRPr="00AA5E0A">
        <w:rPr>
          <w:lang w:val="en-IE"/>
        </w:rPr>
        <w:tab/>
        <w:t>Immunofluorescence</w:t>
      </w:r>
    </w:p>
    <w:p w14:paraId="59B419E6" w14:textId="77777777" w:rsidR="00B40CBD" w:rsidRPr="00AA5E0A" w:rsidRDefault="00B40CBD" w:rsidP="00E45A97">
      <w:pPr>
        <w:pStyle w:val="111Para"/>
        <w:rPr>
          <w:lang w:val="en-IE"/>
        </w:rPr>
      </w:pPr>
      <w:r w:rsidRPr="00AA5E0A">
        <w:rPr>
          <w:lang w:val="en-IE"/>
        </w:rPr>
        <w:t>While some success has been achieved with immunofluorescence for capsule observation in the research situation (</w:t>
      </w:r>
      <w:proofErr w:type="spellStart"/>
      <w:r w:rsidRPr="00AA5E0A">
        <w:rPr>
          <w:lang w:val="en-IE"/>
        </w:rPr>
        <w:t>Ezzell</w:t>
      </w:r>
      <w:proofErr w:type="spellEnd"/>
      <w:r w:rsidRPr="00AA5E0A">
        <w:rPr>
          <w:lang w:val="en-IE"/>
        </w:rPr>
        <w:t xml:space="preserve"> &amp; Abshire, 1996), it does not lend itself to routine diagnosis.</w:t>
      </w:r>
    </w:p>
    <w:p w14:paraId="59B419E7" w14:textId="77777777" w:rsidR="00B40CBD" w:rsidRPr="00AA5E0A" w:rsidRDefault="001B2579" w:rsidP="00E45A97">
      <w:pPr>
        <w:pStyle w:val="11"/>
        <w:rPr>
          <w:lang w:val="en-IE"/>
        </w:rPr>
      </w:pPr>
      <w:r w:rsidRPr="00AA5E0A">
        <w:rPr>
          <w:lang w:val="en-IE"/>
        </w:rPr>
        <w:t>1.3.</w:t>
      </w:r>
      <w:r w:rsidR="00B40CBD" w:rsidRPr="00AA5E0A">
        <w:rPr>
          <w:lang w:val="en-IE"/>
        </w:rPr>
        <w:tab/>
      </w:r>
      <w:bookmarkStart w:id="0" w:name="_Hlk127192445"/>
      <w:r w:rsidR="00B40CBD" w:rsidRPr="00AA5E0A">
        <w:rPr>
          <w:lang w:val="en-IE"/>
        </w:rPr>
        <w:t>Confirmation of virulence with the polymerase chain reaction</w:t>
      </w:r>
      <w:bookmarkEnd w:id="0"/>
    </w:p>
    <w:p w14:paraId="59B419E8" w14:textId="77777777" w:rsidR="00B40CBD" w:rsidRPr="00AA5E0A" w:rsidRDefault="00B40CBD" w:rsidP="00E45A97">
      <w:pPr>
        <w:pStyle w:val="11Para"/>
        <w:rPr>
          <w:lang w:val="en-IE"/>
        </w:rPr>
      </w:pPr>
      <w:r w:rsidRPr="00AA5E0A">
        <w:rPr>
          <w:lang w:val="en-IE"/>
        </w:rPr>
        <w:t>Confirmation of virulence can be carried out using the PCR. The following instructions are taken from the WHO (</w:t>
      </w:r>
      <w:r w:rsidRPr="00AA5E0A">
        <w:rPr>
          <w:smallCaps/>
          <w:lang w:val="en-IE"/>
        </w:rPr>
        <w:t>2008)</w:t>
      </w:r>
      <w:r w:rsidRPr="00AA5E0A">
        <w:rPr>
          <w:lang w:val="en-IE"/>
        </w:rPr>
        <w:t xml:space="preserve">. Template DNA for PCR can be prepared from a fresh colony of </w:t>
      </w:r>
      <w:r w:rsidRPr="00AA5E0A">
        <w:rPr>
          <w:i/>
          <w:iCs/>
          <w:lang w:val="en-IE"/>
        </w:rPr>
        <w:t>B. anthracis</w:t>
      </w:r>
      <w:r w:rsidRPr="00AA5E0A">
        <w:rPr>
          <w:lang w:val="en-IE"/>
        </w:rPr>
        <w:t xml:space="preserve"> on nutrient agar by suspension of a loop of growth in 25 µl sterile deionised (or distilled) water and heating to 95°C for 20 minutes. Following cooling to approximately 4°C, and brief centrifugation, the supernatant can be used for the PCR reaction.</w:t>
      </w:r>
    </w:p>
    <w:p w14:paraId="59B419E9" w14:textId="1CC19EC2" w:rsidR="00B40CBD" w:rsidRPr="008B4764" w:rsidRDefault="00B40CBD" w:rsidP="00E45A97">
      <w:pPr>
        <w:pStyle w:val="11Para"/>
        <w:rPr>
          <w:lang w:val="en-IE"/>
        </w:rPr>
      </w:pPr>
      <w:r w:rsidRPr="00AA5E0A">
        <w:rPr>
          <w:lang w:val="en-IE"/>
        </w:rPr>
        <w:t>Examples of suitable primers (</w:t>
      </w:r>
      <w:r w:rsidRPr="00AA5E0A">
        <w:t xml:space="preserve">Beyer </w:t>
      </w:r>
      <w:r w:rsidRPr="00AA5E0A">
        <w:rPr>
          <w:i/>
          <w:iCs/>
        </w:rPr>
        <w:t>et al.,</w:t>
      </w:r>
      <w:r w:rsidR="00554C82" w:rsidRPr="00AA5E0A">
        <w:rPr>
          <w:i/>
          <w:iCs/>
        </w:rPr>
        <w:t xml:space="preserve"> </w:t>
      </w:r>
      <w:r w:rsidRPr="00AA5E0A">
        <w:t>1996</w:t>
      </w:r>
      <w:r w:rsidRPr="00AA5E0A">
        <w:rPr>
          <w:lang w:val="en-IE"/>
        </w:rPr>
        <w:t>;</w:t>
      </w:r>
      <w:r w:rsidR="00210367" w:rsidRPr="00AA5E0A">
        <w:rPr>
          <w:lang w:val="en-IE"/>
        </w:rPr>
        <w:t xml:space="preserve"> </w:t>
      </w:r>
      <w:r w:rsidRPr="00AA5E0A">
        <w:rPr>
          <w:lang w:val="en-IE"/>
        </w:rPr>
        <w:t>Hutson</w:t>
      </w:r>
      <w:r w:rsidR="00E3509C" w:rsidRPr="00AA5E0A">
        <w:rPr>
          <w:lang w:val="en-IE"/>
        </w:rPr>
        <w:t xml:space="preserve"> </w:t>
      </w:r>
      <w:r w:rsidRPr="00AA5E0A">
        <w:rPr>
          <w:i/>
          <w:iCs/>
          <w:lang w:val="en-IE"/>
        </w:rPr>
        <w:t>et al.,</w:t>
      </w:r>
      <w:r w:rsidRPr="00AA5E0A">
        <w:rPr>
          <w:lang w:val="en-IE"/>
        </w:rPr>
        <w:t xml:space="preserve"> 1993)</w:t>
      </w:r>
      <w:r w:rsidR="00554C82" w:rsidRPr="00AA5E0A">
        <w:rPr>
          <w:lang w:val="en-IE"/>
        </w:rPr>
        <w:t xml:space="preserve"> </w:t>
      </w:r>
      <w:r w:rsidRPr="00AA5E0A">
        <w:rPr>
          <w:lang w:val="en-IE"/>
        </w:rPr>
        <w:t xml:space="preserve">for confirming the presence of the pXO1 and pXO2 plasmids are given in the table below. </w:t>
      </w:r>
    </w:p>
    <w:tbl>
      <w:tblPr>
        <w:tblW w:w="0" w:type="auto"/>
        <w:tblInd w:w="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9" w:type="dxa"/>
          <w:right w:w="139" w:type="dxa"/>
        </w:tblCellMar>
        <w:tblLook w:val="0000" w:firstRow="0" w:lastRow="0" w:firstColumn="0" w:lastColumn="0" w:noHBand="0" w:noVBand="0"/>
      </w:tblPr>
      <w:tblGrid>
        <w:gridCol w:w="1276"/>
        <w:gridCol w:w="1276"/>
        <w:gridCol w:w="2977"/>
        <w:gridCol w:w="1417"/>
        <w:gridCol w:w="1559"/>
      </w:tblGrid>
      <w:tr w:rsidR="00B40CBD" w:rsidRPr="00CC246E" w14:paraId="59B419EF" w14:textId="77777777" w:rsidTr="00D63ACB">
        <w:trPr>
          <w:tblHeader/>
        </w:trPr>
        <w:tc>
          <w:tcPr>
            <w:tcW w:w="1276" w:type="dxa"/>
          </w:tcPr>
          <w:p w14:paraId="59B419EA" w14:textId="77777777" w:rsidR="00B40CBD" w:rsidRPr="00CC246E" w:rsidRDefault="00B40CBD" w:rsidP="00F305DA">
            <w:pPr>
              <w:pStyle w:val="paraa"/>
              <w:spacing w:before="120" w:after="120"/>
              <w:ind w:left="0"/>
              <w:jc w:val="center"/>
              <w:rPr>
                <w:rFonts w:ascii="Söhne Kräftig" w:hAnsi="Söhne Kräftig"/>
                <w:lang w:val="en-IE"/>
              </w:rPr>
            </w:pPr>
            <w:r w:rsidRPr="00CC246E">
              <w:rPr>
                <w:rFonts w:ascii="Söhne Kräftig" w:hAnsi="Söhne Kräftig"/>
                <w:lang w:val="en-IE"/>
              </w:rPr>
              <w:lastRenderedPageBreak/>
              <w:t>Target</w:t>
            </w:r>
          </w:p>
        </w:tc>
        <w:tc>
          <w:tcPr>
            <w:tcW w:w="1276" w:type="dxa"/>
          </w:tcPr>
          <w:p w14:paraId="59B419EB" w14:textId="77777777" w:rsidR="00B40CBD" w:rsidRPr="00CC246E" w:rsidRDefault="00B40CBD" w:rsidP="00F305DA">
            <w:pPr>
              <w:pStyle w:val="paraa"/>
              <w:spacing w:before="120" w:after="120"/>
              <w:ind w:left="0"/>
              <w:jc w:val="center"/>
              <w:rPr>
                <w:rFonts w:ascii="Söhne Kräftig" w:hAnsi="Söhne Kräftig"/>
                <w:lang w:val="en-IE"/>
              </w:rPr>
            </w:pPr>
            <w:r w:rsidRPr="00CC246E">
              <w:rPr>
                <w:rFonts w:ascii="Söhne Kräftig" w:hAnsi="Söhne Kräftig"/>
                <w:lang w:val="en-IE"/>
              </w:rPr>
              <w:t>Primer ID</w:t>
            </w:r>
          </w:p>
        </w:tc>
        <w:tc>
          <w:tcPr>
            <w:tcW w:w="2977" w:type="dxa"/>
          </w:tcPr>
          <w:p w14:paraId="59B419EC" w14:textId="509B98EC" w:rsidR="00B40CBD" w:rsidRPr="00CC246E" w:rsidRDefault="00B40CBD" w:rsidP="00F305DA">
            <w:pPr>
              <w:pStyle w:val="paraa"/>
              <w:spacing w:before="120" w:after="120"/>
              <w:ind w:left="0"/>
              <w:jc w:val="center"/>
              <w:rPr>
                <w:rFonts w:ascii="Söhne Kräftig" w:hAnsi="Söhne Kräftig"/>
                <w:lang w:val="en-IE"/>
              </w:rPr>
            </w:pPr>
            <w:r w:rsidRPr="00CC246E">
              <w:rPr>
                <w:rFonts w:ascii="Söhne Kräftig" w:hAnsi="Söhne Kräftig"/>
                <w:lang w:val="en-IE"/>
              </w:rPr>
              <w:t xml:space="preserve">Sequence </w:t>
            </w:r>
            <w:r w:rsidR="00371520" w:rsidRPr="00CC246E">
              <w:rPr>
                <w:rFonts w:ascii="Söhne Kräftig" w:hAnsi="Söhne Kräftig"/>
                <w:lang w:val="en-IE"/>
              </w:rPr>
              <w:t>(</w:t>
            </w:r>
            <w:r w:rsidR="00371520" w:rsidRPr="00CC246E">
              <w:rPr>
                <w:rFonts w:ascii="Söhne Kräftig" w:hAnsi="Söhne Kräftig"/>
              </w:rPr>
              <w:t xml:space="preserve">5’ </w:t>
            </w:r>
            <w:r w:rsidR="00371520" w:rsidRPr="00CC246E">
              <w:rPr>
                <w:rFonts w:ascii="Söhne Kräftig" w:hAnsi="Söhne Kräftig"/>
                <w:lang w:eastAsia="en-GB"/>
              </w:rPr>
              <w:t>→</w:t>
            </w:r>
            <w:r w:rsidR="00371520" w:rsidRPr="00CC246E">
              <w:rPr>
                <w:rFonts w:ascii="Söhne Kräftig" w:eastAsia="Calibri" w:hAnsi="Söhne Kräftig"/>
                <w:kern w:val="24"/>
                <w:lang w:eastAsia="en-GB"/>
              </w:rPr>
              <w:t xml:space="preserve"> </w:t>
            </w:r>
            <w:r w:rsidR="00371520" w:rsidRPr="00CC246E">
              <w:rPr>
                <w:rFonts w:ascii="Söhne Kräftig" w:hAnsi="Söhne Kräftig"/>
              </w:rPr>
              <w:t>3’)</w:t>
            </w:r>
          </w:p>
        </w:tc>
        <w:tc>
          <w:tcPr>
            <w:tcW w:w="1417" w:type="dxa"/>
          </w:tcPr>
          <w:p w14:paraId="59B419ED" w14:textId="77777777" w:rsidR="00B40CBD" w:rsidRPr="00CC246E" w:rsidRDefault="00B40CBD" w:rsidP="00F305DA">
            <w:pPr>
              <w:pStyle w:val="paraa"/>
              <w:spacing w:before="120" w:after="120"/>
              <w:ind w:left="0"/>
              <w:jc w:val="center"/>
              <w:rPr>
                <w:rFonts w:ascii="Söhne Kräftig" w:hAnsi="Söhne Kräftig"/>
                <w:lang w:val="en-IE"/>
              </w:rPr>
            </w:pPr>
            <w:r w:rsidRPr="00CC246E">
              <w:rPr>
                <w:rFonts w:ascii="Söhne Kräftig" w:hAnsi="Söhne Kräftig"/>
                <w:lang w:val="en-IE"/>
              </w:rPr>
              <w:t>Product size</w:t>
            </w:r>
          </w:p>
        </w:tc>
        <w:tc>
          <w:tcPr>
            <w:tcW w:w="1559" w:type="dxa"/>
          </w:tcPr>
          <w:p w14:paraId="59B419EE" w14:textId="77777777" w:rsidR="00B40CBD" w:rsidRPr="00CC246E" w:rsidRDefault="00B40CBD" w:rsidP="00F305DA">
            <w:pPr>
              <w:pStyle w:val="paraa"/>
              <w:spacing w:before="120" w:after="120"/>
              <w:ind w:left="0"/>
              <w:jc w:val="center"/>
              <w:rPr>
                <w:rFonts w:ascii="Söhne Kräftig" w:hAnsi="Söhne Kräftig"/>
                <w:lang w:val="en-IE"/>
              </w:rPr>
            </w:pPr>
            <w:r w:rsidRPr="00CC246E">
              <w:rPr>
                <w:rFonts w:ascii="Söhne Kräftig" w:hAnsi="Söhne Kräftig"/>
                <w:lang w:val="en-IE"/>
              </w:rPr>
              <w:t>Concentration</w:t>
            </w:r>
          </w:p>
        </w:tc>
      </w:tr>
      <w:tr w:rsidR="00B671C9" w:rsidRPr="00AA5E0A" w14:paraId="59B419F5" w14:textId="77777777" w:rsidTr="00B671C9">
        <w:tc>
          <w:tcPr>
            <w:tcW w:w="1276" w:type="dxa"/>
            <w:vMerge w:val="restart"/>
            <w:vAlign w:val="center"/>
          </w:tcPr>
          <w:p w14:paraId="59B419F0"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Protective antigen (PA)</w:t>
            </w:r>
          </w:p>
        </w:tc>
        <w:tc>
          <w:tcPr>
            <w:tcW w:w="1276" w:type="dxa"/>
          </w:tcPr>
          <w:p w14:paraId="59B419F1" w14:textId="77777777" w:rsidR="00B671C9" w:rsidRPr="00AA5E0A" w:rsidRDefault="00B671C9" w:rsidP="00C93E44">
            <w:pPr>
              <w:pStyle w:val="paraa"/>
              <w:spacing w:before="40" w:after="40"/>
              <w:ind w:left="0"/>
              <w:jc w:val="center"/>
              <w:rPr>
                <w:rFonts w:ascii="Söhne" w:hAnsi="Söhne"/>
                <w:sz w:val="16"/>
                <w:szCs w:val="16"/>
                <w:lang w:val="en-IE"/>
              </w:rPr>
            </w:pPr>
            <w:r w:rsidRPr="00AA5E0A">
              <w:rPr>
                <w:rFonts w:ascii="Söhne" w:hAnsi="Söhne"/>
                <w:sz w:val="16"/>
                <w:szCs w:val="16"/>
                <w:lang w:val="en-IE"/>
              </w:rPr>
              <w:t xml:space="preserve">PA 5 </w:t>
            </w:r>
            <w:r w:rsidRPr="00AA5E0A">
              <w:rPr>
                <w:rFonts w:ascii="Söhne" w:hAnsi="Söhne"/>
                <w:sz w:val="16"/>
                <w:szCs w:val="16"/>
                <w:lang w:val="en-IE"/>
              </w:rPr>
              <w:br/>
              <w:t>3048–3029</w:t>
            </w:r>
          </w:p>
        </w:tc>
        <w:tc>
          <w:tcPr>
            <w:tcW w:w="2977" w:type="dxa"/>
            <w:vAlign w:val="center"/>
          </w:tcPr>
          <w:p w14:paraId="59B419F2"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TCC-TAA-CAC-TAA-CGA-AGT-CG</w:t>
            </w:r>
          </w:p>
        </w:tc>
        <w:tc>
          <w:tcPr>
            <w:tcW w:w="1417" w:type="dxa"/>
            <w:vAlign w:val="center"/>
          </w:tcPr>
          <w:p w14:paraId="59B419F3"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596 bp</w:t>
            </w:r>
          </w:p>
        </w:tc>
        <w:tc>
          <w:tcPr>
            <w:tcW w:w="1559" w:type="dxa"/>
            <w:vAlign w:val="center"/>
          </w:tcPr>
          <w:p w14:paraId="59B419F4"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1 mM</w:t>
            </w:r>
          </w:p>
        </w:tc>
      </w:tr>
      <w:tr w:rsidR="00B671C9" w:rsidRPr="00071021" w14:paraId="59B419FB" w14:textId="77777777" w:rsidTr="00B671C9">
        <w:tc>
          <w:tcPr>
            <w:tcW w:w="1276" w:type="dxa"/>
            <w:vMerge/>
          </w:tcPr>
          <w:p w14:paraId="59B419F6" w14:textId="77777777" w:rsidR="00B671C9" w:rsidRPr="00AA5E0A" w:rsidRDefault="00B671C9" w:rsidP="00C93E44">
            <w:pPr>
              <w:pStyle w:val="paraa"/>
              <w:spacing w:before="40" w:after="40"/>
              <w:ind w:left="0"/>
              <w:jc w:val="center"/>
              <w:rPr>
                <w:rFonts w:ascii="Söhne" w:hAnsi="Söhne"/>
                <w:sz w:val="16"/>
                <w:szCs w:val="16"/>
                <w:lang w:val="en-IE"/>
              </w:rPr>
            </w:pPr>
          </w:p>
        </w:tc>
        <w:tc>
          <w:tcPr>
            <w:tcW w:w="1276" w:type="dxa"/>
          </w:tcPr>
          <w:p w14:paraId="59B419F7" w14:textId="77777777" w:rsidR="00B671C9" w:rsidRPr="00AA5E0A" w:rsidRDefault="00B671C9" w:rsidP="00C93E44">
            <w:pPr>
              <w:pStyle w:val="paraa"/>
              <w:spacing w:before="40" w:after="40"/>
              <w:ind w:left="0"/>
              <w:jc w:val="center"/>
              <w:rPr>
                <w:rFonts w:ascii="Söhne" w:hAnsi="Söhne"/>
                <w:sz w:val="16"/>
                <w:szCs w:val="16"/>
                <w:lang w:val="en-IE"/>
              </w:rPr>
            </w:pPr>
            <w:r w:rsidRPr="00AA5E0A">
              <w:rPr>
                <w:rFonts w:ascii="Söhne" w:hAnsi="Söhne"/>
                <w:sz w:val="16"/>
                <w:szCs w:val="16"/>
                <w:lang w:val="en-IE"/>
              </w:rPr>
              <w:t>PA 8</w:t>
            </w:r>
            <w:r w:rsidRPr="00AA5E0A">
              <w:rPr>
                <w:rFonts w:ascii="Söhne" w:hAnsi="Söhne"/>
                <w:sz w:val="16"/>
                <w:szCs w:val="16"/>
                <w:lang w:val="en-IE"/>
              </w:rPr>
              <w:br/>
              <w:t>2452–2471</w:t>
            </w:r>
          </w:p>
        </w:tc>
        <w:tc>
          <w:tcPr>
            <w:tcW w:w="2977" w:type="dxa"/>
            <w:vAlign w:val="center"/>
          </w:tcPr>
          <w:p w14:paraId="59B419F8" w14:textId="77777777" w:rsidR="00B671C9" w:rsidRPr="006E0609" w:rsidRDefault="00B671C9" w:rsidP="00B671C9">
            <w:pPr>
              <w:pStyle w:val="paraa"/>
              <w:spacing w:before="40" w:after="40"/>
              <w:ind w:left="0"/>
              <w:jc w:val="center"/>
              <w:rPr>
                <w:rFonts w:ascii="Söhne" w:hAnsi="Söhne"/>
                <w:sz w:val="16"/>
                <w:szCs w:val="16"/>
                <w:lang w:val="en-IE"/>
              </w:rPr>
            </w:pPr>
            <w:r w:rsidRPr="006E0609">
              <w:rPr>
                <w:rFonts w:ascii="Söhne" w:hAnsi="Söhne"/>
                <w:sz w:val="16"/>
                <w:szCs w:val="16"/>
                <w:lang w:val="en-IE"/>
              </w:rPr>
              <w:t>GAG-GTA-GAA-GGA-TAT-ACG-GT</w:t>
            </w:r>
          </w:p>
        </w:tc>
        <w:tc>
          <w:tcPr>
            <w:tcW w:w="1417" w:type="dxa"/>
            <w:vAlign w:val="center"/>
          </w:tcPr>
          <w:p w14:paraId="59B419F9" w14:textId="77777777" w:rsidR="00B671C9" w:rsidRPr="006E0609" w:rsidRDefault="00B671C9" w:rsidP="00B671C9">
            <w:pPr>
              <w:pStyle w:val="paraa"/>
              <w:spacing w:before="40" w:after="40"/>
              <w:ind w:left="0"/>
              <w:jc w:val="center"/>
              <w:rPr>
                <w:rFonts w:ascii="Söhne" w:hAnsi="Söhne"/>
                <w:sz w:val="16"/>
                <w:szCs w:val="16"/>
                <w:lang w:val="en-IE"/>
              </w:rPr>
            </w:pPr>
          </w:p>
        </w:tc>
        <w:tc>
          <w:tcPr>
            <w:tcW w:w="1559" w:type="dxa"/>
            <w:vAlign w:val="center"/>
          </w:tcPr>
          <w:p w14:paraId="59B419FA" w14:textId="77777777" w:rsidR="00B671C9" w:rsidRPr="006E0609" w:rsidRDefault="00B671C9" w:rsidP="00B671C9">
            <w:pPr>
              <w:pStyle w:val="paraa"/>
              <w:spacing w:before="40" w:after="40"/>
              <w:ind w:left="0"/>
              <w:jc w:val="center"/>
              <w:rPr>
                <w:rFonts w:ascii="Söhne" w:hAnsi="Söhne"/>
                <w:sz w:val="16"/>
                <w:szCs w:val="16"/>
                <w:lang w:val="en-IE"/>
              </w:rPr>
            </w:pPr>
          </w:p>
        </w:tc>
      </w:tr>
      <w:tr w:rsidR="00B671C9" w:rsidRPr="00AA5E0A" w14:paraId="59B41A01" w14:textId="77777777" w:rsidTr="00B671C9">
        <w:tc>
          <w:tcPr>
            <w:tcW w:w="1276" w:type="dxa"/>
            <w:vMerge w:val="restart"/>
            <w:vAlign w:val="center"/>
          </w:tcPr>
          <w:p w14:paraId="59B419FC"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Capsule</w:t>
            </w:r>
          </w:p>
        </w:tc>
        <w:tc>
          <w:tcPr>
            <w:tcW w:w="1276" w:type="dxa"/>
          </w:tcPr>
          <w:p w14:paraId="59B419FD" w14:textId="77777777" w:rsidR="00B671C9" w:rsidRPr="00AA5E0A" w:rsidRDefault="00B671C9" w:rsidP="00C93E44">
            <w:pPr>
              <w:pStyle w:val="paraa"/>
              <w:spacing w:before="40" w:after="40"/>
              <w:ind w:left="0"/>
              <w:jc w:val="center"/>
              <w:rPr>
                <w:rFonts w:ascii="Söhne" w:hAnsi="Söhne"/>
                <w:sz w:val="16"/>
                <w:szCs w:val="16"/>
                <w:lang w:val="en-IE"/>
              </w:rPr>
            </w:pPr>
            <w:r w:rsidRPr="00AA5E0A">
              <w:rPr>
                <w:rFonts w:ascii="Söhne" w:hAnsi="Söhne"/>
                <w:sz w:val="16"/>
                <w:szCs w:val="16"/>
                <w:lang w:val="en-IE"/>
              </w:rPr>
              <w:t>1234</w:t>
            </w:r>
            <w:r w:rsidRPr="00AA5E0A">
              <w:rPr>
                <w:rFonts w:ascii="Söhne" w:hAnsi="Söhne"/>
                <w:sz w:val="16"/>
                <w:szCs w:val="16"/>
                <w:lang w:val="en-IE"/>
              </w:rPr>
              <w:br/>
              <w:t>1411–1430</w:t>
            </w:r>
          </w:p>
        </w:tc>
        <w:tc>
          <w:tcPr>
            <w:tcW w:w="2977" w:type="dxa"/>
            <w:vAlign w:val="center"/>
          </w:tcPr>
          <w:p w14:paraId="59B419FE"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CTG-AGC-CAT-TAA-TCG-ATA-TG</w:t>
            </w:r>
          </w:p>
        </w:tc>
        <w:tc>
          <w:tcPr>
            <w:tcW w:w="1417" w:type="dxa"/>
            <w:vAlign w:val="center"/>
          </w:tcPr>
          <w:p w14:paraId="59B419FF"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846 bp</w:t>
            </w:r>
          </w:p>
        </w:tc>
        <w:tc>
          <w:tcPr>
            <w:tcW w:w="1559" w:type="dxa"/>
            <w:vAlign w:val="center"/>
          </w:tcPr>
          <w:p w14:paraId="59B41A00"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0.2 mM</w:t>
            </w:r>
          </w:p>
        </w:tc>
      </w:tr>
      <w:tr w:rsidR="00B671C9" w:rsidRPr="00AA5E0A" w14:paraId="59B41A07" w14:textId="77777777" w:rsidTr="00B671C9">
        <w:tc>
          <w:tcPr>
            <w:tcW w:w="1276" w:type="dxa"/>
            <w:vMerge/>
          </w:tcPr>
          <w:p w14:paraId="59B41A02" w14:textId="77777777" w:rsidR="00B671C9" w:rsidRPr="00AA5E0A" w:rsidRDefault="00B671C9" w:rsidP="00C93E44">
            <w:pPr>
              <w:pStyle w:val="paraa"/>
              <w:spacing w:before="40" w:after="40"/>
              <w:ind w:left="0"/>
              <w:jc w:val="center"/>
              <w:rPr>
                <w:rFonts w:ascii="Söhne" w:hAnsi="Söhne"/>
                <w:sz w:val="16"/>
                <w:szCs w:val="16"/>
                <w:lang w:val="en-IE"/>
              </w:rPr>
            </w:pPr>
          </w:p>
        </w:tc>
        <w:tc>
          <w:tcPr>
            <w:tcW w:w="1276" w:type="dxa"/>
          </w:tcPr>
          <w:p w14:paraId="59B41A03" w14:textId="77777777" w:rsidR="00B671C9" w:rsidRPr="00AA5E0A" w:rsidRDefault="00B671C9" w:rsidP="00C93E44">
            <w:pPr>
              <w:pStyle w:val="paraa"/>
              <w:spacing w:before="40" w:after="40"/>
              <w:ind w:left="0"/>
              <w:jc w:val="center"/>
              <w:rPr>
                <w:rFonts w:ascii="Söhne" w:hAnsi="Söhne"/>
                <w:sz w:val="16"/>
                <w:szCs w:val="16"/>
                <w:lang w:val="en-IE"/>
              </w:rPr>
            </w:pPr>
            <w:r w:rsidRPr="00AA5E0A">
              <w:rPr>
                <w:rFonts w:ascii="Söhne" w:hAnsi="Söhne"/>
                <w:sz w:val="16"/>
                <w:szCs w:val="16"/>
                <w:lang w:val="en-IE"/>
              </w:rPr>
              <w:t>1301</w:t>
            </w:r>
            <w:r w:rsidRPr="00AA5E0A">
              <w:rPr>
                <w:rFonts w:ascii="Söhne" w:hAnsi="Söhne"/>
                <w:sz w:val="16"/>
                <w:szCs w:val="16"/>
                <w:lang w:val="en-IE"/>
              </w:rPr>
              <w:br/>
              <w:t>2257–2238</w:t>
            </w:r>
          </w:p>
        </w:tc>
        <w:tc>
          <w:tcPr>
            <w:tcW w:w="2977" w:type="dxa"/>
            <w:vAlign w:val="center"/>
          </w:tcPr>
          <w:p w14:paraId="59B41A04" w14:textId="77777777" w:rsidR="00B671C9" w:rsidRPr="00AA5E0A" w:rsidRDefault="00B671C9" w:rsidP="00B671C9">
            <w:pPr>
              <w:pStyle w:val="paraa"/>
              <w:spacing w:before="40" w:after="40"/>
              <w:ind w:left="0"/>
              <w:jc w:val="center"/>
              <w:rPr>
                <w:rFonts w:ascii="Söhne" w:hAnsi="Söhne"/>
                <w:sz w:val="16"/>
                <w:szCs w:val="16"/>
                <w:lang w:val="en-IE"/>
              </w:rPr>
            </w:pPr>
            <w:r w:rsidRPr="00AA5E0A">
              <w:rPr>
                <w:rFonts w:ascii="Söhne" w:hAnsi="Söhne"/>
                <w:sz w:val="16"/>
                <w:szCs w:val="16"/>
                <w:lang w:val="en-IE"/>
              </w:rPr>
              <w:t>TCC-CAC-TTA-CGT-AAT-CTG-AG</w:t>
            </w:r>
          </w:p>
        </w:tc>
        <w:tc>
          <w:tcPr>
            <w:tcW w:w="1417" w:type="dxa"/>
            <w:vAlign w:val="center"/>
          </w:tcPr>
          <w:p w14:paraId="59B41A05" w14:textId="77777777" w:rsidR="00B671C9" w:rsidRPr="00AA5E0A" w:rsidRDefault="00B671C9" w:rsidP="00B671C9">
            <w:pPr>
              <w:pStyle w:val="paraa"/>
              <w:spacing w:before="40" w:after="40"/>
              <w:ind w:left="0"/>
              <w:jc w:val="center"/>
              <w:rPr>
                <w:rFonts w:ascii="Söhne" w:hAnsi="Söhne"/>
                <w:sz w:val="16"/>
                <w:szCs w:val="16"/>
                <w:lang w:val="en-IE"/>
              </w:rPr>
            </w:pPr>
          </w:p>
        </w:tc>
        <w:tc>
          <w:tcPr>
            <w:tcW w:w="1559" w:type="dxa"/>
            <w:vAlign w:val="center"/>
          </w:tcPr>
          <w:p w14:paraId="59B41A06" w14:textId="77777777" w:rsidR="00B671C9" w:rsidRPr="00AA5E0A" w:rsidRDefault="00B671C9" w:rsidP="00B671C9">
            <w:pPr>
              <w:pStyle w:val="paraa"/>
              <w:spacing w:before="40" w:after="40"/>
              <w:ind w:left="0"/>
              <w:jc w:val="center"/>
              <w:rPr>
                <w:rFonts w:ascii="Söhne" w:hAnsi="Söhne"/>
                <w:sz w:val="16"/>
                <w:szCs w:val="16"/>
                <w:lang w:val="en-IE"/>
              </w:rPr>
            </w:pPr>
          </w:p>
        </w:tc>
      </w:tr>
    </w:tbl>
    <w:p w14:paraId="59B41A08" w14:textId="5835BA33" w:rsidR="00B40CBD" w:rsidRPr="00AA5E0A" w:rsidRDefault="00B40CBD" w:rsidP="00B671C9">
      <w:pPr>
        <w:pStyle w:val="11Para"/>
        <w:spacing w:before="240"/>
        <w:rPr>
          <w:lang w:val="en-IE"/>
        </w:rPr>
      </w:pPr>
      <w:r w:rsidRPr="00AA5E0A">
        <w:rPr>
          <w:lang w:val="en-IE"/>
        </w:rPr>
        <w:t xml:space="preserve">PCR can be carried out in 50 µl volumes using the above primers, 200 µM each of </w:t>
      </w:r>
      <w:proofErr w:type="spellStart"/>
      <w:r w:rsidRPr="00AA5E0A">
        <w:rPr>
          <w:lang w:val="en-IE"/>
        </w:rPr>
        <w:t>dATP</w:t>
      </w:r>
      <w:proofErr w:type="spellEnd"/>
      <w:r w:rsidRPr="00AA5E0A">
        <w:rPr>
          <w:lang w:val="en-IE"/>
        </w:rPr>
        <w:t xml:space="preserve">, </w:t>
      </w:r>
      <w:proofErr w:type="spellStart"/>
      <w:r w:rsidRPr="00AA5E0A">
        <w:rPr>
          <w:lang w:val="en-IE"/>
        </w:rPr>
        <w:t>dCTP</w:t>
      </w:r>
      <w:proofErr w:type="spellEnd"/>
      <w:r w:rsidRPr="00AA5E0A">
        <w:rPr>
          <w:lang w:val="en-IE"/>
        </w:rPr>
        <w:t xml:space="preserve">, dTTP and </w:t>
      </w:r>
      <w:proofErr w:type="spellStart"/>
      <w:r w:rsidRPr="00AA5E0A">
        <w:rPr>
          <w:lang w:val="en-IE"/>
        </w:rPr>
        <w:t>dGTP</w:t>
      </w:r>
      <w:proofErr w:type="spellEnd"/>
      <w:r w:rsidRPr="00AA5E0A">
        <w:rPr>
          <w:lang w:val="en-IE"/>
        </w:rPr>
        <w:t>, 1.5 mM MgCl</w:t>
      </w:r>
      <w:r w:rsidRPr="00AA5E0A">
        <w:rPr>
          <w:szCs w:val="14"/>
          <w:vertAlign w:val="subscript"/>
          <w:lang w:val="en-IE"/>
        </w:rPr>
        <w:t>2</w:t>
      </w:r>
      <w:r w:rsidRPr="00AA5E0A">
        <w:rPr>
          <w:lang w:val="en-IE"/>
        </w:rPr>
        <w:t xml:space="preserve"> and 2.5 units of DNA</w:t>
      </w:r>
      <w:r w:rsidR="00210367" w:rsidRPr="00AA5E0A">
        <w:rPr>
          <w:lang w:val="en-IE"/>
        </w:rPr>
        <w:t xml:space="preserve"> </w:t>
      </w:r>
      <w:r w:rsidRPr="00AA5E0A">
        <w:rPr>
          <w:lang w:val="en-IE"/>
        </w:rPr>
        <w:t>polymerase, all in NH</w:t>
      </w:r>
      <w:r w:rsidRPr="00AA5E0A">
        <w:rPr>
          <w:szCs w:val="14"/>
          <w:vertAlign w:val="subscript"/>
          <w:lang w:val="en-IE"/>
        </w:rPr>
        <w:t>4</w:t>
      </w:r>
      <w:r w:rsidRPr="00AA5E0A">
        <w:rPr>
          <w:lang w:val="en-IE"/>
        </w:rPr>
        <w:t xml:space="preserve"> buffer, followed by the addition of 5 µl of template DNA. A 2% agarose gel has been found to work best with these small fragments.</w:t>
      </w:r>
    </w:p>
    <w:p w14:paraId="59B41A09" w14:textId="203511B8" w:rsidR="00B40CBD" w:rsidRPr="00AA5E0A" w:rsidRDefault="00B40CBD" w:rsidP="00E45A97">
      <w:pPr>
        <w:pStyle w:val="11Para"/>
        <w:rPr>
          <w:lang w:val="en-IE"/>
        </w:rPr>
      </w:pPr>
      <w:r w:rsidRPr="00AA5E0A">
        <w:rPr>
          <w:lang w:val="en-IE"/>
        </w:rPr>
        <w:t xml:space="preserve">Alternatively, premixed, </w:t>
      </w:r>
      <w:proofErr w:type="spellStart"/>
      <w:r w:rsidRPr="00AA5E0A">
        <w:rPr>
          <w:lang w:val="en-IE"/>
        </w:rPr>
        <w:t>predispensed</w:t>
      </w:r>
      <w:proofErr w:type="spellEnd"/>
      <w:r w:rsidRPr="00AA5E0A">
        <w:rPr>
          <w:lang w:val="en-IE"/>
        </w:rPr>
        <w:t>, dried beads</w:t>
      </w:r>
      <w:r w:rsidR="00A512AA" w:rsidRPr="00AA5E0A">
        <w:rPr>
          <w:lang w:val="en-IE"/>
        </w:rPr>
        <w:t xml:space="preserve"> available commercially can be used. These are</w:t>
      </w:r>
      <w:r w:rsidRPr="00AA5E0A">
        <w:rPr>
          <w:lang w:val="en-IE"/>
        </w:rPr>
        <w:t xml:space="preserve"> stable at room temperature, containing all the necessary reagents, except primer and template, for performing 25 µl PCR reactions. The template can be added in a 2.5 µl volume.</w:t>
      </w:r>
    </w:p>
    <w:p w14:paraId="59B41A0A" w14:textId="77777777" w:rsidR="00B40CBD" w:rsidRPr="00AA5E0A" w:rsidRDefault="00B40CBD" w:rsidP="00E45A97">
      <w:pPr>
        <w:pStyle w:val="11Para"/>
        <w:rPr>
          <w:lang w:val="en-IE"/>
        </w:rPr>
      </w:pPr>
      <w:r w:rsidRPr="00AA5E0A">
        <w:rPr>
          <w:lang w:val="en-IE"/>
        </w:rPr>
        <w:t>The following PCR cycle can be used: 1 × 95°C for 5 minutes; 30 × 95°C for 0.5 minute followed by 55°C for 0.5 minute followed by 72°C for 0.5 minute; 1 × 72°C for 5 minutes; cool to 4°C.</w:t>
      </w:r>
    </w:p>
    <w:p w14:paraId="59B41A0B" w14:textId="49510245" w:rsidR="00B40CBD" w:rsidRPr="00AA5E0A" w:rsidRDefault="00B40CBD" w:rsidP="008601C2">
      <w:pPr>
        <w:pStyle w:val="11Para"/>
        <w:rPr>
          <w:lang w:val="en-IE"/>
        </w:rPr>
      </w:pPr>
      <w:r w:rsidRPr="00AA5E0A">
        <w:rPr>
          <w:lang w:val="en-IE"/>
        </w:rPr>
        <w:t>It should be noted that the primers given in the table above have proved successful for confirming the presence or absence of pXO1 and/or pXO2 in pure cultures of isolates from animal (including human) specimens</w:t>
      </w:r>
      <w:r w:rsidR="00210367" w:rsidRPr="00AA5E0A">
        <w:rPr>
          <w:lang w:val="en-IE"/>
        </w:rPr>
        <w:t xml:space="preserve"> </w:t>
      </w:r>
      <w:r w:rsidRPr="00AA5E0A">
        <w:rPr>
          <w:lang w:val="en-IE"/>
        </w:rPr>
        <w:t>or environmental samples. They may be</w:t>
      </w:r>
      <w:r w:rsidR="00210367" w:rsidRPr="00AA5E0A">
        <w:rPr>
          <w:lang w:val="en-IE"/>
        </w:rPr>
        <w:t xml:space="preserve"> </w:t>
      </w:r>
      <w:r w:rsidRPr="00AA5E0A">
        <w:rPr>
          <w:lang w:val="en-IE"/>
        </w:rPr>
        <w:t xml:space="preserve">unsuitable, however, for direct detection of </w:t>
      </w:r>
      <w:r w:rsidRPr="00AA5E0A">
        <w:rPr>
          <w:i/>
          <w:iCs/>
          <w:lang w:val="en-IE"/>
        </w:rPr>
        <w:t>B. anthracis</w:t>
      </w:r>
      <w:r w:rsidRPr="00AA5E0A">
        <w:rPr>
          <w:lang w:val="en-IE"/>
        </w:rPr>
        <w:t xml:space="preserve"> in such specimens or samples. A choice of alternatives can be found in Jackson </w:t>
      </w:r>
      <w:r w:rsidRPr="00AA5E0A">
        <w:rPr>
          <w:i/>
          <w:iCs/>
          <w:lang w:val="en-IE"/>
        </w:rPr>
        <w:t>et al.</w:t>
      </w:r>
      <w:r w:rsidRPr="00AA5E0A">
        <w:rPr>
          <w:lang w:val="en-IE"/>
        </w:rPr>
        <w:t xml:space="preserve"> (1998) and </w:t>
      </w:r>
      <w:proofErr w:type="spellStart"/>
      <w:r w:rsidRPr="00AA5E0A">
        <w:rPr>
          <w:lang w:val="en-IE"/>
        </w:rPr>
        <w:t>Ramisse</w:t>
      </w:r>
      <w:proofErr w:type="spellEnd"/>
      <w:r w:rsidRPr="00AA5E0A">
        <w:rPr>
          <w:lang w:val="en-IE"/>
        </w:rPr>
        <w:t xml:space="preserve"> </w:t>
      </w:r>
      <w:r w:rsidRPr="00AA5E0A">
        <w:rPr>
          <w:i/>
          <w:iCs/>
          <w:lang w:val="en-IE"/>
        </w:rPr>
        <w:t>et al.</w:t>
      </w:r>
      <w:r w:rsidR="00210367" w:rsidRPr="00AA5E0A">
        <w:rPr>
          <w:i/>
          <w:iCs/>
          <w:lang w:val="en-IE"/>
        </w:rPr>
        <w:t xml:space="preserve"> </w:t>
      </w:r>
      <w:r w:rsidRPr="00AA5E0A">
        <w:rPr>
          <w:lang w:val="en-IE"/>
        </w:rPr>
        <w:t>(1996). For the rare possibility that an isolate may lack both pXO1 and pXO2, a chromosomal marker should also be run; primers for these are also described</w:t>
      </w:r>
      <w:r w:rsidR="00210367" w:rsidRPr="00AA5E0A">
        <w:rPr>
          <w:lang w:val="en-IE"/>
        </w:rPr>
        <w:t xml:space="preserve"> </w:t>
      </w:r>
      <w:r w:rsidRPr="00AA5E0A">
        <w:rPr>
          <w:lang w:val="en-IE"/>
        </w:rPr>
        <w:t xml:space="preserve">in Jackson </w:t>
      </w:r>
      <w:r w:rsidRPr="00AA5E0A">
        <w:rPr>
          <w:i/>
          <w:iCs/>
          <w:lang w:val="en-IE"/>
        </w:rPr>
        <w:t>et al.</w:t>
      </w:r>
      <w:r w:rsidRPr="00AA5E0A">
        <w:rPr>
          <w:lang w:val="en-IE"/>
        </w:rPr>
        <w:t xml:space="preserve"> (1998) and </w:t>
      </w:r>
      <w:proofErr w:type="spellStart"/>
      <w:r w:rsidRPr="00AA5E0A">
        <w:rPr>
          <w:lang w:val="en-IE"/>
        </w:rPr>
        <w:t>Ramisse</w:t>
      </w:r>
      <w:proofErr w:type="spellEnd"/>
      <w:r w:rsidRPr="00AA5E0A">
        <w:rPr>
          <w:lang w:val="en-IE"/>
        </w:rPr>
        <w:t xml:space="preserve"> </w:t>
      </w:r>
      <w:r w:rsidRPr="00AA5E0A">
        <w:rPr>
          <w:i/>
          <w:iCs/>
          <w:lang w:val="en-IE"/>
        </w:rPr>
        <w:t>et al.</w:t>
      </w:r>
      <w:r w:rsidR="00210367" w:rsidRPr="00AA5E0A">
        <w:rPr>
          <w:i/>
          <w:iCs/>
          <w:lang w:val="en-IE"/>
        </w:rPr>
        <w:t xml:space="preserve"> </w:t>
      </w:r>
      <w:r w:rsidRPr="00AA5E0A">
        <w:rPr>
          <w:lang w:val="en-IE"/>
        </w:rPr>
        <w:t>(1996).</w:t>
      </w:r>
      <w:r w:rsidR="00D63BC9">
        <w:rPr>
          <w:lang w:val="en-IE"/>
        </w:rPr>
        <w:t xml:space="preserve"> </w:t>
      </w:r>
      <w:proofErr w:type="spellStart"/>
      <w:r w:rsidR="00DC572B" w:rsidRPr="00BE7ACA">
        <w:rPr>
          <w:smallCaps/>
          <w:highlight w:val="yellow"/>
          <w:u w:val="double"/>
          <w:lang w:val="en-IE"/>
        </w:rPr>
        <w:t>Å</w:t>
      </w:r>
      <w:r w:rsidR="00C32C8E" w:rsidRPr="00BE7ACA">
        <w:rPr>
          <w:rFonts w:eastAsia="MS Mincho"/>
          <w:highlight w:val="yellow"/>
          <w:u w:val="double"/>
          <w:lang w:val="en-IE" w:eastAsia="fr-FR"/>
        </w:rPr>
        <w:t>gren</w:t>
      </w:r>
      <w:proofErr w:type="spellEnd"/>
      <w:r w:rsidR="00C32C8E" w:rsidRPr="00BE7ACA">
        <w:rPr>
          <w:rFonts w:eastAsia="MS Mincho"/>
          <w:highlight w:val="yellow"/>
          <w:u w:val="double"/>
          <w:lang w:val="en-IE" w:eastAsia="fr-FR"/>
        </w:rPr>
        <w:t xml:space="preserve"> </w:t>
      </w:r>
      <w:r w:rsidR="00C32C8E" w:rsidRPr="00BE7ACA">
        <w:rPr>
          <w:rFonts w:eastAsia="MS Mincho"/>
          <w:i/>
          <w:iCs/>
          <w:highlight w:val="yellow"/>
          <w:u w:val="double"/>
          <w:lang w:val="en-IE" w:eastAsia="fr-FR"/>
        </w:rPr>
        <w:t>et al</w:t>
      </w:r>
      <w:r w:rsidR="00C32C8E" w:rsidRPr="00BE7ACA">
        <w:rPr>
          <w:rFonts w:eastAsia="MS Mincho"/>
          <w:highlight w:val="yellow"/>
          <w:u w:val="double"/>
          <w:lang w:val="en-IE" w:eastAsia="fr-FR"/>
        </w:rPr>
        <w:t xml:space="preserve">. </w:t>
      </w:r>
      <w:r w:rsidR="00BE7ACA">
        <w:rPr>
          <w:rFonts w:eastAsia="MS Mincho"/>
          <w:highlight w:val="yellow"/>
          <w:u w:val="double"/>
          <w:lang w:val="en-IE" w:eastAsia="fr-FR"/>
        </w:rPr>
        <w:t>(</w:t>
      </w:r>
      <w:r w:rsidR="00C32C8E" w:rsidRPr="00BE7ACA">
        <w:rPr>
          <w:rFonts w:eastAsia="MS Mincho"/>
          <w:highlight w:val="yellow"/>
          <w:u w:val="double"/>
          <w:lang w:val="en-IE" w:eastAsia="fr-FR"/>
        </w:rPr>
        <w:t>2013</w:t>
      </w:r>
      <w:r w:rsidR="00BE7ACA">
        <w:rPr>
          <w:rFonts w:eastAsia="MS Mincho"/>
          <w:highlight w:val="yellow"/>
          <w:u w:val="double"/>
          <w:lang w:val="en-IE" w:eastAsia="fr-FR"/>
        </w:rPr>
        <w:t>)</w:t>
      </w:r>
      <w:r w:rsidR="00C32C8E" w:rsidRPr="00BE7ACA">
        <w:rPr>
          <w:rFonts w:eastAsia="MS Mincho"/>
          <w:highlight w:val="yellow"/>
          <w:u w:val="double"/>
          <w:lang w:val="en-IE" w:eastAsia="fr-FR"/>
        </w:rPr>
        <w:t xml:space="preserve"> published a very comprehensive study on the </w:t>
      </w:r>
      <w:r w:rsidR="00C32C8E" w:rsidRPr="00BE7ACA">
        <w:rPr>
          <w:rFonts w:eastAsia="MS Mincho"/>
          <w:i/>
          <w:iCs/>
          <w:highlight w:val="yellow"/>
          <w:u w:val="double"/>
          <w:lang w:val="en-IE" w:eastAsia="fr-FR"/>
        </w:rPr>
        <w:t>in</w:t>
      </w:r>
      <w:r w:rsidR="00BE7ACA">
        <w:rPr>
          <w:rFonts w:eastAsia="MS Mincho"/>
          <w:i/>
          <w:iCs/>
          <w:highlight w:val="yellow"/>
          <w:u w:val="double"/>
          <w:lang w:val="en-IE" w:eastAsia="fr-FR"/>
        </w:rPr>
        <w:t>-</w:t>
      </w:r>
      <w:r w:rsidR="00C32C8E" w:rsidRPr="00BE7ACA">
        <w:rPr>
          <w:rFonts w:eastAsia="MS Mincho"/>
          <w:i/>
          <w:iCs/>
          <w:highlight w:val="yellow"/>
          <w:u w:val="double"/>
          <w:lang w:val="en-IE" w:eastAsia="fr-FR"/>
        </w:rPr>
        <w:t>silico</w:t>
      </w:r>
      <w:r w:rsidR="00C32C8E" w:rsidRPr="00BE7ACA">
        <w:rPr>
          <w:rFonts w:eastAsia="MS Mincho"/>
          <w:highlight w:val="yellow"/>
          <w:u w:val="double"/>
          <w:lang w:val="en-IE" w:eastAsia="fr-FR"/>
        </w:rPr>
        <w:t xml:space="preserve"> and </w:t>
      </w:r>
      <w:r w:rsidR="00C32C8E" w:rsidRPr="00BE7ACA">
        <w:rPr>
          <w:rFonts w:eastAsia="MS Mincho"/>
          <w:i/>
          <w:iCs/>
          <w:highlight w:val="yellow"/>
          <w:u w:val="double"/>
          <w:lang w:val="en-IE" w:eastAsia="fr-FR"/>
        </w:rPr>
        <w:t>in</w:t>
      </w:r>
      <w:r w:rsidR="00BE7ACA">
        <w:rPr>
          <w:rFonts w:eastAsia="MS Mincho"/>
          <w:i/>
          <w:iCs/>
          <w:highlight w:val="yellow"/>
          <w:u w:val="double"/>
          <w:lang w:val="en-IE" w:eastAsia="fr-FR"/>
        </w:rPr>
        <w:t>-</w:t>
      </w:r>
      <w:r w:rsidR="00C32C8E" w:rsidRPr="00BE7ACA">
        <w:rPr>
          <w:rFonts w:eastAsia="MS Mincho"/>
          <w:i/>
          <w:iCs/>
          <w:highlight w:val="yellow"/>
          <w:u w:val="double"/>
          <w:lang w:val="en-IE" w:eastAsia="fr-FR"/>
        </w:rPr>
        <w:t>vitro</w:t>
      </w:r>
      <w:r w:rsidR="00C32C8E" w:rsidRPr="00BE7ACA">
        <w:rPr>
          <w:rFonts w:eastAsia="MS Mincho"/>
          <w:highlight w:val="yellow"/>
          <w:u w:val="double"/>
          <w:lang w:val="en-IE" w:eastAsia="fr-FR"/>
        </w:rPr>
        <w:t xml:space="preserve"> evaluation of 35 PCR-based methods for 20 chromosomal markers of </w:t>
      </w:r>
      <w:r w:rsidR="00C32C8E" w:rsidRPr="00BE7ACA">
        <w:rPr>
          <w:rFonts w:eastAsia="MS Mincho"/>
          <w:i/>
          <w:highlight w:val="yellow"/>
          <w:u w:val="double"/>
          <w:lang w:val="en-IE" w:eastAsia="fr-FR"/>
        </w:rPr>
        <w:t>B</w:t>
      </w:r>
      <w:r w:rsidR="00C32C8E" w:rsidRPr="00BE7ACA">
        <w:rPr>
          <w:rFonts w:eastAsia="MS Mincho"/>
          <w:highlight w:val="yellow"/>
          <w:u w:val="double"/>
          <w:lang w:val="en-IE" w:eastAsia="fr-FR"/>
        </w:rPr>
        <w:t xml:space="preserve">. </w:t>
      </w:r>
      <w:r w:rsidR="00C32C8E" w:rsidRPr="00BE7ACA">
        <w:rPr>
          <w:rFonts w:eastAsia="MS Mincho"/>
          <w:i/>
          <w:highlight w:val="yellow"/>
          <w:u w:val="double"/>
          <w:lang w:val="en-IE" w:eastAsia="fr-FR"/>
        </w:rPr>
        <w:t>anthracis</w:t>
      </w:r>
      <w:r w:rsidR="00C32C8E" w:rsidRPr="00BE7ACA">
        <w:rPr>
          <w:rFonts w:eastAsia="MS Mincho"/>
          <w:highlight w:val="yellow"/>
          <w:u w:val="double"/>
          <w:lang w:val="en-IE" w:eastAsia="fr-FR"/>
        </w:rPr>
        <w:t>. The PL3 (target: part of pro-phage type 3) assay (</w:t>
      </w:r>
      <w:proofErr w:type="spellStart"/>
      <w:r w:rsidR="00C32C8E" w:rsidRPr="00BE7ACA">
        <w:rPr>
          <w:rFonts w:eastAsia="MS Mincho"/>
          <w:highlight w:val="yellow"/>
          <w:u w:val="double"/>
          <w:lang w:val="en-IE" w:eastAsia="fr-FR"/>
        </w:rPr>
        <w:t>Wielinga</w:t>
      </w:r>
      <w:proofErr w:type="spellEnd"/>
      <w:r w:rsidR="00C32C8E" w:rsidRPr="00BE7ACA">
        <w:rPr>
          <w:rFonts w:eastAsia="MS Mincho"/>
          <w:highlight w:val="yellow"/>
          <w:u w:val="double"/>
          <w:lang w:val="en-IE" w:eastAsia="fr-FR"/>
        </w:rPr>
        <w:t xml:space="preserve"> </w:t>
      </w:r>
      <w:r w:rsidR="00C32C8E" w:rsidRPr="00BE7ACA">
        <w:rPr>
          <w:rFonts w:eastAsia="MS Mincho"/>
          <w:i/>
          <w:iCs/>
          <w:highlight w:val="yellow"/>
          <w:u w:val="double"/>
          <w:lang w:val="en-IE" w:eastAsia="fr-FR"/>
        </w:rPr>
        <w:t>et al</w:t>
      </w:r>
      <w:r w:rsidR="00C32C8E" w:rsidRPr="00BE7ACA">
        <w:rPr>
          <w:rFonts w:eastAsia="MS Mincho"/>
          <w:highlight w:val="yellow"/>
          <w:u w:val="double"/>
          <w:lang w:val="en-IE" w:eastAsia="fr-FR"/>
        </w:rPr>
        <w:t>., 2011) was identified as one of the best performing assays in this study and could be used for routine diagnostics</w:t>
      </w:r>
      <w:r w:rsidR="00D63BC9" w:rsidRPr="00D63BC9">
        <w:rPr>
          <w:rFonts w:ascii="Arial" w:eastAsia="MS Mincho" w:hAnsi="Arial"/>
          <w:highlight w:val="yellow"/>
          <w:u w:val="double"/>
          <w:lang w:val="en-IE" w:eastAsia="fr-FR"/>
        </w:rPr>
        <w:t>.</w:t>
      </w:r>
    </w:p>
    <w:p w14:paraId="59B41A0C" w14:textId="3B54653F" w:rsidR="00740008" w:rsidRDefault="00740008" w:rsidP="00A87328">
      <w:pPr>
        <w:pStyle w:val="11Para"/>
        <w:rPr>
          <w:lang w:val="en-IE"/>
        </w:rPr>
      </w:pPr>
      <w:r w:rsidRPr="00AA5E0A">
        <w:rPr>
          <w:lang w:val="en-IE"/>
        </w:rPr>
        <w:t xml:space="preserve">Real-time PCR assays have been developed for enhanced speed, sensitivity and specificity of detection of pXO1, pXO2 and chromosomal genes of </w:t>
      </w:r>
      <w:r w:rsidRPr="00AA5E0A">
        <w:rPr>
          <w:i/>
          <w:lang w:val="en-IE"/>
        </w:rPr>
        <w:t>Bacillus anthracis</w:t>
      </w:r>
      <w:r w:rsidRPr="00AA5E0A">
        <w:rPr>
          <w:lang w:val="en-IE"/>
        </w:rPr>
        <w:t xml:space="preserve"> and other closely related </w:t>
      </w:r>
      <w:r w:rsidRPr="00AA5E0A">
        <w:rPr>
          <w:i/>
          <w:lang w:val="en-IE"/>
        </w:rPr>
        <w:t>Bacillus</w:t>
      </w:r>
      <w:r w:rsidRPr="00AA5E0A">
        <w:rPr>
          <w:lang w:val="en-IE"/>
        </w:rPr>
        <w:t xml:space="preserve"> spp. </w:t>
      </w:r>
      <w:r w:rsidRPr="00AA5E0A">
        <w:rPr>
          <w:lang w:val="fr-FR"/>
        </w:rPr>
        <w:t xml:space="preserve">(e.g. </w:t>
      </w:r>
      <w:proofErr w:type="spellStart"/>
      <w:r w:rsidRPr="00AA5E0A">
        <w:rPr>
          <w:lang w:val="fr-FR"/>
        </w:rPr>
        <w:t>Hadjinicolaou</w:t>
      </w:r>
      <w:proofErr w:type="spellEnd"/>
      <w:r w:rsidRPr="00AA5E0A">
        <w:rPr>
          <w:lang w:val="fr-FR"/>
        </w:rPr>
        <w:t xml:space="preserve"> </w:t>
      </w:r>
      <w:r w:rsidRPr="00AA5E0A">
        <w:rPr>
          <w:i/>
          <w:lang w:val="fr-FR"/>
        </w:rPr>
        <w:t>et al</w:t>
      </w:r>
      <w:r w:rsidRPr="00AA5E0A">
        <w:rPr>
          <w:lang w:val="fr-FR"/>
        </w:rPr>
        <w:t>., 2009</w:t>
      </w:r>
      <w:r w:rsidR="008601C2" w:rsidRPr="00AA5E0A">
        <w:rPr>
          <w:lang w:val="fr-FR"/>
        </w:rPr>
        <w:t>;</w:t>
      </w:r>
      <w:r w:rsidRPr="00AA5E0A">
        <w:rPr>
          <w:lang w:val="fr-FR"/>
        </w:rPr>
        <w:t xml:space="preserve"> </w:t>
      </w:r>
      <w:proofErr w:type="spellStart"/>
      <w:r w:rsidRPr="00AA5E0A">
        <w:rPr>
          <w:lang w:val="fr-FR"/>
        </w:rPr>
        <w:t>Hoffmaster</w:t>
      </w:r>
      <w:proofErr w:type="spellEnd"/>
      <w:r w:rsidRPr="00AA5E0A">
        <w:rPr>
          <w:lang w:val="fr-FR"/>
        </w:rPr>
        <w:t xml:space="preserve"> </w:t>
      </w:r>
      <w:r w:rsidRPr="00AA5E0A">
        <w:rPr>
          <w:i/>
          <w:lang w:val="fr-FR"/>
        </w:rPr>
        <w:t>et al</w:t>
      </w:r>
      <w:r w:rsidRPr="00AA5E0A">
        <w:rPr>
          <w:lang w:val="fr-FR"/>
        </w:rPr>
        <w:t>., 2002</w:t>
      </w:r>
      <w:r w:rsidR="008601C2" w:rsidRPr="00AA5E0A">
        <w:rPr>
          <w:lang w:val="fr-FR"/>
        </w:rPr>
        <w:t>;</w:t>
      </w:r>
      <w:r w:rsidRPr="00AA5E0A">
        <w:rPr>
          <w:lang w:val="fr-FR"/>
        </w:rPr>
        <w:t xml:space="preserve"> </w:t>
      </w:r>
      <w:proofErr w:type="spellStart"/>
      <w:r w:rsidRPr="00AA5E0A">
        <w:rPr>
          <w:lang w:val="fr-FR"/>
        </w:rPr>
        <w:t>Irenge</w:t>
      </w:r>
      <w:proofErr w:type="spellEnd"/>
      <w:r w:rsidRPr="00AA5E0A">
        <w:rPr>
          <w:lang w:val="fr-FR"/>
        </w:rPr>
        <w:t xml:space="preserve"> </w:t>
      </w:r>
      <w:r w:rsidRPr="00AA5E0A">
        <w:rPr>
          <w:i/>
          <w:lang w:val="fr-FR"/>
        </w:rPr>
        <w:t>et al</w:t>
      </w:r>
      <w:r w:rsidRPr="00AA5E0A">
        <w:rPr>
          <w:lang w:val="fr-FR"/>
        </w:rPr>
        <w:t>., 2010</w:t>
      </w:r>
      <w:r w:rsidR="008601C2" w:rsidRPr="00AA5E0A">
        <w:rPr>
          <w:lang w:val="fr-FR"/>
        </w:rPr>
        <w:t>;</w:t>
      </w:r>
      <w:r w:rsidRPr="00AA5E0A">
        <w:rPr>
          <w:lang w:val="fr-FR"/>
        </w:rPr>
        <w:t xml:space="preserve"> Qi </w:t>
      </w:r>
      <w:r w:rsidRPr="00AA5E0A">
        <w:rPr>
          <w:i/>
          <w:lang w:val="fr-FR"/>
        </w:rPr>
        <w:t>et al</w:t>
      </w:r>
      <w:r w:rsidRPr="00AA5E0A">
        <w:rPr>
          <w:lang w:val="fr-FR"/>
        </w:rPr>
        <w:t>., 2001</w:t>
      </w:r>
      <w:r w:rsidR="008601C2" w:rsidRPr="00AA5E0A">
        <w:rPr>
          <w:lang w:val="fr-FR"/>
        </w:rPr>
        <w:t>;</w:t>
      </w:r>
      <w:r w:rsidRPr="00AA5E0A">
        <w:rPr>
          <w:lang w:val="fr-FR"/>
        </w:rPr>
        <w:t xml:space="preserve"> Rao </w:t>
      </w:r>
      <w:r w:rsidRPr="00AA5E0A">
        <w:rPr>
          <w:i/>
          <w:lang w:val="fr-FR"/>
        </w:rPr>
        <w:t>et al</w:t>
      </w:r>
      <w:r w:rsidR="008601C2" w:rsidRPr="00AA5E0A">
        <w:rPr>
          <w:lang w:val="fr-FR"/>
        </w:rPr>
        <w:t>., 2010).</w:t>
      </w:r>
      <w:r w:rsidRPr="00AA5E0A">
        <w:rPr>
          <w:lang w:val="fr-FR"/>
        </w:rPr>
        <w:t xml:space="preserve"> </w:t>
      </w:r>
      <w:r w:rsidRPr="00AA5E0A">
        <w:rPr>
          <w:lang w:val="en-IE"/>
        </w:rPr>
        <w:t>Selection of a particular assay will be dependent on the fitness for purpose and so</w:t>
      </w:r>
      <w:r w:rsidR="008601C2" w:rsidRPr="00AA5E0A">
        <w:rPr>
          <w:lang w:val="en-IE"/>
        </w:rPr>
        <w:t>urce of starting material (e.g.</w:t>
      </w:r>
      <w:r w:rsidRPr="00AA5E0A">
        <w:rPr>
          <w:lang w:val="en-IE"/>
        </w:rPr>
        <w:t xml:space="preserve"> isolates, clinical specimen, environmental sample), requirement to differentiate from other </w:t>
      </w:r>
      <w:r w:rsidRPr="00AA5E0A">
        <w:rPr>
          <w:i/>
          <w:lang w:val="en-IE"/>
        </w:rPr>
        <w:t>Bacillus</w:t>
      </w:r>
      <w:r w:rsidRPr="00AA5E0A">
        <w:rPr>
          <w:lang w:val="en-IE"/>
        </w:rPr>
        <w:t xml:space="preserve"> spp. or vaccine strains, demonstration of genetic diversity or co</w:t>
      </w:r>
      <w:r w:rsidR="008601C2" w:rsidRPr="00AA5E0A">
        <w:rPr>
          <w:lang w:val="en-IE"/>
        </w:rPr>
        <w:t>nfirmation of isolate identity.</w:t>
      </w:r>
      <w:r w:rsidRPr="00AA5E0A">
        <w:rPr>
          <w:lang w:val="en-IE"/>
        </w:rPr>
        <w:t xml:space="preserve"> It is important that the laboratory conducting real-time PCR evaluate the performance of the test for their purpose and complete a validation analysis to ensure that it has been optimised and standardised for its </w:t>
      </w:r>
      <w:r w:rsidR="008601C2" w:rsidRPr="00AA5E0A">
        <w:rPr>
          <w:lang w:val="en-IE"/>
        </w:rPr>
        <w:t>intended use (see Chapter 1.1.6</w:t>
      </w:r>
      <w:r w:rsidRPr="00AA5E0A">
        <w:rPr>
          <w:lang w:val="en-IE"/>
        </w:rPr>
        <w:t xml:space="preserve"> </w:t>
      </w:r>
      <w:r w:rsidRPr="00AA5E0A">
        <w:rPr>
          <w:i/>
          <w:lang w:val="en-IE"/>
        </w:rPr>
        <w:t>Principles and methods of validation of diagnostic assays for infectious diseases</w:t>
      </w:r>
      <w:r w:rsidRPr="00AA5E0A">
        <w:rPr>
          <w:lang w:val="en-IE"/>
        </w:rPr>
        <w:t>).</w:t>
      </w:r>
    </w:p>
    <w:p w14:paraId="2FBCF270" w14:textId="53834977" w:rsidR="00F22199" w:rsidRDefault="00A87328" w:rsidP="00B01996">
      <w:pPr>
        <w:pStyle w:val="11Para"/>
        <w:spacing w:after="480"/>
        <w:rPr>
          <w:lang w:val="en-IE"/>
        </w:rPr>
      </w:pPr>
      <w:r w:rsidRPr="00AB46F7">
        <w:rPr>
          <w:rFonts w:ascii="Arial" w:eastAsia="MS Mincho" w:hAnsi="Arial"/>
          <w:highlight w:val="yellow"/>
          <w:u w:val="double"/>
          <w:lang w:val="en-IE"/>
        </w:rPr>
        <w:t xml:space="preserve">Molecular typing techniques for </w:t>
      </w:r>
      <w:r w:rsidRPr="00AB46F7">
        <w:rPr>
          <w:rFonts w:ascii="Arial" w:eastAsia="MS Mincho" w:hAnsi="Arial"/>
          <w:i/>
          <w:highlight w:val="yellow"/>
          <w:u w:val="double"/>
          <w:lang w:val="en-IE"/>
        </w:rPr>
        <w:t>B</w:t>
      </w:r>
      <w:r w:rsidRPr="00AB46F7">
        <w:rPr>
          <w:rFonts w:ascii="Arial" w:eastAsia="MS Mincho" w:hAnsi="Arial"/>
          <w:highlight w:val="yellow"/>
          <w:u w:val="double"/>
          <w:lang w:val="en-IE"/>
        </w:rPr>
        <w:t xml:space="preserve">. </w:t>
      </w:r>
      <w:r w:rsidRPr="00AB46F7">
        <w:rPr>
          <w:rFonts w:ascii="Arial" w:eastAsia="MS Mincho" w:hAnsi="Arial"/>
          <w:i/>
          <w:highlight w:val="yellow"/>
          <w:u w:val="double"/>
          <w:lang w:val="en-IE"/>
        </w:rPr>
        <w:t>anthracis</w:t>
      </w:r>
      <w:r w:rsidRPr="00AB46F7">
        <w:rPr>
          <w:rFonts w:ascii="Arial" w:eastAsia="MS Mincho" w:hAnsi="Arial"/>
          <w:highlight w:val="yellow"/>
          <w:u w:val="double"/>
          <w:lang w:val="en-IE"/>
        </w:rPr>
        <w:t xml:space="preserve"> like canonical single-nucleotide polymorphisms typing (e.g. Van </w:t>
      </w:r>
      <w:proofErr w:type="spellStart"/>
      <w:r w:rsidRPr="00AB46F7">
        <w:rPr>
          <w:rFonts w:ascii="Arial" w:eastAsia="MS Mincho" w:hAnsi="Arial"/>
          <w:highlight w:val="yellow"/>
          <w:u w:val="double"/>
          <w:lang w:val="en-IE"/>
        </w:rPr>
        <w:t>Ert</w:t>
      </w:r>
      <w:proofErr w:type="spellEnd"/>
      <w:r w:rsidRPr="00AB46F7">
        <w:rPr>
          <w:rFonts w:ascii="Arial" w:eastAsia="MS Mincho" w:hAnsi="Arial"/>
          <w:highlight w:val="yellow"/>
          <w:u w:val="double"/>
          <w:lang w:val="en-IE"/>
        </w:rPr>
        <w:t xml:space="preserve"> </w:t>
      </w:r>
      <w:r w:rsidRPr="00AB46F7">
        <w:rPr>
          <w:rFonts w:ascii="Arial" w:eastAsia="MS Mincho" w:hAnsi="Arial"/>
          <w:i/>
          <w:iCs/>
          <w:highlight w:val="yellow"/>
          <w:u w:val="double"/>
          <w:lang w:val="en-IE"/>
        </w:rPr>
        <w:t>et al</w:t>
      </w:r>
      <w:r w:rsidRPr="00AB46F7">
        <w:rPr>
          <w:rFonts w:ascii="Arial" w:eastAsia="MS Mincho" w:hAnsi="Arial"/>
          <w:highlight w:val="yellow"/>
          <w:u w:val="double"/>
          <w:lang w:val="en-IE"/>
        </w:rPr>
        <w:t xml:space="preserve">., 2007) and variable number tandem repeat analysis (e.g. </w:t>
      </w:r>
      <w:proofErr w:type="spellStart"/>
      <w:r w:rsidRPr="00AB46F7">
        <w:rPr>
          <w:rFonts w:ascii="Arial" w:eastAsia="MS Mincho" w:hAnsi="Arial"/>
          <w:highlight w:val="yellow"/>
          <w:u w:val="double"/>
          <w:lang w:val="en-IE"/>
        </w:rPr>
        <w:t>Keim</w:t>
      </w:r>
      <w:proofErr w:type="spellEnd"/>
      <w:r w:rsidRPr="00AB46F7">
        <w:rPr>
          <w:rFonts w:ascii="Arial" w:eastAsia="MS Mincho" w:hAnsi="Arial"/>
          <w:highlight w:val="yellow"/>
          <w:u w:val="double"/>
          <w:lang w:val="en-IE"/>
        </w:rPr>
        <w:t xml:space="preserve"> </w:t>
      </w:r>
      <w:r w:rsidRPr="00AB46F7">
        <w:rPr>
          <w:rFonts w:ascii="Arial" w:eastAsia="MS Mincho" w:hAnsi="Arial"/>
          <w:i/>
          <w:iCs/>
          <w:highlight w:val="yellow"/>
          <w:u w:val="double"/>
          <w:lang w:val="en-IE"/>
        </w:rPr>
        <w:t>et al</w:t>
      </w:r>
      <w:r w:rsidRPr="00AB46F7">
        <w:rPr>
          <w:rFonts w:ascii="Arial" w:eastAsia="MS Mincho" w:hAnsi="Arial"/>
          <w:highlight w:val="yellow"/>
          <w:u w:val="double"/>
          <w:lang w:val="en-IE"/>
        </w:rPr>
        <w:t xml:space="preserve">., 2000) are appropriate for use in specialised laboratories. Molecular typing based on whole genome sequencing e.g. core genome </w:t>
      </w:r>
      <w:proofErr w:type="spellStart"/>
      <w:r w:rsidRPr="00AB46F7">
        <w:rPr>
          <w:rFonts w:ascii="Arial" w:eastAsia="MS Mincho" w:hAnsi="Arial"/>
          <w:highlight w:val="yellow"/>
          <w:u w:val="double"/>
          <w:lang w:val="en-IE"/>
        </w:rPr>
        <w:t>multilocus</w:t>
      </w:r>
      <w:proofErr w:type="spellEnd"/>
      <w:r w:rsidRPr="00AB46F7">
        <w:rPr>
          <w:rFonts w:ascii="Arial" w:eastAsia="MS Mincho" w:hAnsi="Arial"/>
          <w:highlight w:val="yellow"/>
          <w:u w:val="double"/>
          <w:lang w:val="en-IE"/>
        </w:rPr>
        <w:t xml:space="preserve"> sequence typing may be useful to elucidate the diversity of </w:t>
      </w:r>
      <w:r w:rsidRPr="00AB46F7">
        <w:rPr>
          <w:rFonts w:ascii="Arial" w:eastAsia="MS Mincho" w:hAnsi="Arial"/>
          <w:i/>
          <w:highlight w:val="yellow"/>
          <w:u w:val="double"/>
          <w:lang w:val="en-IE"/>
        </w:rPr>
        <w:t>B</w:t>
      </w:r>
      <w:r w:rsidRPr="00AB46F7">
        <w:rPr>
          <w:rFonts w:ascii="Arial" w:eastAsia="MS Mincho" w:hAnsi="Arial"/>
          <w:highlight w:val="yellow"/>
          <w:u w:val="double"/>
          <w:lang w:val="en-IE"/>
        </w:rPr>
        <w:t xml:space="preserve">. </w:t>
      </w:r>
      <w:r w:rsidRPr="00AB46F7">
        <w:rPr>
          <w:rFonts w:ascii="Arial" w:eastAsia="MS Mincho" w:hAnsi="Arial"/>
          <w:i/>
          <w:highlight w:val="yellow"/>
          <w:u w:val="double"/>
          <w:lang w:val="en-IE"/>
        </w:rPr>
        <w:t>anthracis</w:t>
      </w:r>
      <w:r w:rsidRPr="00AB46F7">
        <w:rPr>
          <w:rFonts w:ascii="Arial" w:eastAsia="MS Mincho" w:hAnsi="Arial"/>
          <w:highlight w:val="yellow"/>
          <w:u w:val="double"/>
          <w:lang w:val="en-IE"/>
        </w:rPr>
        <w:t xml:space="preserve"> genotypes circulating, to determine connections between outbreak events and supports infection chain tracing (Abdel-</w:t>
      </w:r>
      <w:proofErr w:type="spellStart"/>
      <w:r w:rsidRPr="00AB46F7">
        <w:rPr>
          <w:rFonts w:ascii="Arial" w:eastAsia="MS Mincho" w:hAnsi="Arial"/>
          <w:highlight w:val="yellow"/>
          <w:u w:val="double"/>
          <w:lang w:val="en-IE"/>
        </w:rPr>
        <w:t>Glil</w:t>
      </w:r>
      <w:proofErr w:type="spellEnd"/>
      <w:r w:rsidRPr="00AB46F7">
        <w:rPr>
          <w:rFonts w:ascii="Arial" w:eastAsia="MS Mincho" w:hAnsi="Arial"/>
          <w:highlight w:val="yellow"/>
          <w:u w:val="double"/>
          <w:lang w:val="en-IE"/>
        </w:rPr>
        <w:t xml:space="preserve"> </w:t>
      </w:r>
      <w:r w:rsidRPr="00AB46F7">
        <w:rPr>
          <w:rFonts w:ascii="Arial" w:eastAsia="MS Mincho" w:hAnsi="Arial"/>
          <w:i/>
          <w:iCs/>
          <w:highlight w:val="yellow"/>
          <w:u w:val="double"/>
          <w:lang w:val="en-IE"/>
        </w:rPr>
        <w:t>et al</w:t>
      </w:r>
      <w:r w:rsidRPr="00AB46F7">
        <w:rPr>
          <w:rFonts w:ascii="Arial" w:eastAsia="MS Mincho" w:hAnsi="Arial"/>
          <w:highlight w:val="yellow"/>
          <w:u w:val="double"/>
          <w:lang w:val="en-IE"/>
        </w:rPr>
        <w:t>., 2021).</w:t>
      </w:r>
    </w:p>
    <w:p w14:paraId="59B41A0D" w14:textId="77777777" w:rsidR="00B40CBD" w:rsidRPr="00AA5E0A" w:rsidRDefault="00B40CBD" w:rsidP="00B93AA3">
      <w:pPr>
        <w:pStyle w:val="A0"/>
        <w:spacing w:after="200"/>
        <w:rPr>
          <w:lang w:val="en-IE"/>
        </w:rPr>
      </w:pPr>
      <w:r w:rsidRPr="00AA5E0A">
        <w:rPr>
          <w:lang w:val="en-IE"/>
        </w:rPr>
        <w:t xml:space="preserve">C. </w:t>
      </w:r>
      <w:r w:rsidR="00D16C96" w:rsidRPr="00AA5E0A">
        <w:rPr>
          <w:lang w:val="en-IE"/>
        </w:rPr>
        <w:t xml:space="preserve"> REQUIREMENTS FOR VACCINES</w:t>
      </w:r>
    </w:p>
    <w:p w14:paraId="59B41A0E" w14:textId="77777777" w:rsidR="00B40CBD" w:rsidRPr="00AA5E0A" w:rsidRDefault="00B40CBD" w:rsidP="00B93AA3">
      <w:pPr>
        <w:pStyle w:val="1"/>
        <w:spacing w:after="200"/>
        <w:rPr>
          <w:lang w:val="en-IE"/>
        </w:rPr>
      </w:pPr>
      <w:r w:rsidRPr="00AA5E0A">
        <w:rPr>
          <w:lang w:val="en-IE"/>
        </w:rPr>
        <w:t>1.</w:t>
      </w:r>
      <w:r w:rsidRPr="00AA5E0A">
        <w:rPr>
          <w:lang w:val="en-IE"/>
        </w:rPr>
        <w:tab/>
        <w:t>Background</w:t>
      </w:r>
    </w:p>
    <w:p w14:paraId="59B41A0F" w14:textId="77777777" w:rsidR="00B40CBD" w:rsidRPr="00AA5E0A" w:rsidRDefault="001B2579" w:rsidP="00E45A97">
      <w:pPr>
        <w:pStyle w:val="11"/>
      </w:pPr>
      <w:r w:rsidRPr="00AA5E0A">
        <w:t>1.1.</w:t>
      </w:r>
      <w:r w:rsidR="00B40CBD" w:rsidRPr="00AA5E0A">
        <w:tab/>
        <w:t>Rationale and intended use of the product</w:t>
      </w:r>
    </w:p>
    <w:p w14:paraId="59B41A10" w14:textId="77777777" w:rsidR="00B40CBD" w:rsidRPr="00AA5E0A" w:rsidRDefault="00B40CBD" w:rsidP="00E45A97">
      <w:pPr>
        <w:pStyle w:val="11Para"/>
        <w:rPr>
          <w:lang w:val="en-IE"/>
        </w:rPr>
      </w:pPr>
      <w:r w:rsidRPr="00AA5E0A">
        <w:rPr>
          <w:lang w:val="en-IE"/>
        </w:rPr>
        <w:t xml:space="preserve">The most widely used vaccine for prevention of anthrax in animals was developed by Sterne (1937). He derived a rough variant of virulent </w:t>
      </w:r>
      <w:r w:rsidRPr="00AA5E0A">
        <w:rPr>
          <w:i/>
          <w:iCs/>
          <w:lang w:val="en-IE"/>
        </w:rPr>
        <w:t xml:space="preserve">B. anthracis </w:t>
      </w:r>
      <w:r w:rsidRPr="00AA5E0A">
        <w:rPr>
          <w:lang w:val="en-IE"/>
        </w:rPr>
        <w:t>from culture on serum agar in an elevated CO</w:t>
      </w:r>
      <w:r w:rsidRPr="00AA5E0A">
        <w:rPr>
          <w:szCs w:val="14"/>
          <w:vertAlign w:val="subscript"/>
          <w:lang w:val="en-IE"/>
        </w:rPr>
        <w:t>2</w:t>
      </w:r>
      <w:r w:rsidRPr="00AA5E0A">
        <w:rPr>
          <w:lang w:val="en-IE"/>
        </w:rPr>
        <w:t xml:space="preserve"> atmosphere. This variant, named 34F2, was incapable of forming a capsule and was subsequently found to have lost the pXO2 plasmid, which codes for capsule formation. It has become the most widely used strain world-wide for animal anthrax vaccine production. In Central and Eastern Europe, an equivalent pXO2</w:t>
      </w:r>
      <w:r w:rsidRPr="00AA5E0A">
        <w:rPr>
          <w:szCs w:val="14"/>
          <w:vertAlign w:val="superscript"/>
          <w:lang w:val="en-IE"/>
        </w:rPr>
        <w:t>–</w:t>
      </w:r>
      <w:r w:rsidRPr="00AA5E0A">
        <w:rPr>
          <w:lang w:val="en-IE"/>
        </w:rPr>
        <w:t xml:space="preserve"> derivative, Strain 55, is the active </w:t>
      </w:r>
      <w:r w:rsidRPr="00AA5E0A">
        <w:rPr>
          <w:lang w:val="en-IE"/>
        </w:rPr>
        <w:lastRenderedPageBreak/>
        <w:t>ingredient of the current livestock vaccine. A list of manufacturers of anthrax vaccine for use in animals is given in Annex 5 of WHO</w:t>
      </w:r>
      <w:r w:rsidR="0082681A" w:rsidRPr="00AA5E0A">
        <w:rPr>
          <w:lang w:val="en-IE"/>
        </w:rPr>
        <w:t xml:space="preserve"> (</w:t>
      </w:r>
      <w:r w:rsidRPr="00AA5E0A">
        <w:rPr>
          <w:smallCaps/>
          <w:lang w:val="en-IE"/>
        </w:rPr>
        <w:t>2008)</w:t>
      </w:r>
      <w:r w:rsidRPr="00AA5E0A">
        <w:rPr>
          <w:lang w:val="en-IE"/>
        </w:rPr>
        <w:t xml:space="preserve">. </w:t>
      </w:r>
    </w:p>
    <w:p w14:paraId="59B41A11" w14:textId="77777777" w:rsidR="00B40CBD" w:rsidRPr="00AA5E0A" w:rsidRDefault="00B40CBD" w:rsidP="00E45A97">
      <w:pPr>
        <w:pStyle w:val="11Para"/>
        <w:rPr>
          <w:lang w:val="en-IE"/>
        </w:rPr>
      </w:pPr>
      <w:r w:rsidRPr="00AA5E0A">
        <w:rPr>
          <w:lang w:val="en-IE"/>
        </w:rPr>
        <w:t xml:space="preserve">The following information concerning preparation of the anthrax vaccine for use in animals is based on </w:t>
      </w:r>
      <w:proofErr w:type="spellStart"/>
      <w:r w:rsidRPr="00AA5E0A">
        <w:rPr>
          <w:lang w:val="en-IE"/>
        </w:rPr>
        <w:t>Misra</w:t>
      </w:r>
      <w:proofErr w:type="spellEnd"/>
      <w:r w:rsidRPr="00AA5E0A">
        <w:rPr>
          <w:lang w:val="en-IE"/>
        </w:rPr>
        <w:t xml:space="preserve"> (1991) and the WHO </w:t>
      </w:r>
      <w:r w:rsidRPr="00AA5E0A">
        <w:rPr>
          <w:smallCaps/>
          <w:lang w:val="en-IE"/>
        </w:rPr>
        <w:t>(1967)</w:t>
      </w:r>
      <w:r w:rsidRPr="00AA5E0A">
        <w:rPr>
          <w:lang w:val="en-IE"/>
        </w:rPr>
        <w:t>. Generalised procedures are given; national regulatory authorities should be consulted in relation to Standard Operating Procedures that may pertain locally.</w:t>
      </w:r>
    </w:p>
    <w:p w14:paraId="59B41A12" w14:textId="77777777" w:rsidR="00B40CBD" w:rsidRPr="00AA5E0A" w:rsidRDefault="00B40CBD" w:rsidP="00F24E60">
      <w:pPr>
        <w:pStyle w:val="1"/>
        <w:rPr>
          <w:lang w:val="en-IE"/>
        </w:rPr>
      </w:pPr>
      <w:r w:rsidRPr="00AA5E0A">
        <w:rPr>
          <w:lang w:val="en-IE"/>
        </w:rPr>
        <w:t>2.</w:t>
      </w:r>
      <w:r w:rsidRPr="00AA5E0A">
        <w:rPr>
          <w:lang w:val="en-IE"/>
        </w:rPr>
        <w:tab/>
        <w:t>Outline of production and minimum requirements for conventional vaccines</w:t>
      </w:r>
    </w:p>
    <w:p w14:paraId="59B41A13" w14:textId="77777777" w:rsidR="00B40CBD" w:rsidRPr="00AA5E0A" w:rsidRDefault="001B2579" w:rsidP="00E45A97">
      <w:pPr>
        <w:pStyle w:val="11"/>
        <w:rPr>
          <w:lang w:val="en-IE"/>
        </w:rPr>
      </w:pPr>
      <w:r w:rsidRPr="00AA5E0A">
        <w:rPr>
          <w:lang w:val="en-IE"/>
        </w:rPr>
        <w:t>2.1.</w:t>
      </w:r>
      <w:r w:rsidR="00B40CBD" w:rsidRPr="00AA5E0A">
        <w:rPr>
          <w:lang w:val="en-IE"/>
        </w:rPr>
        <w:tab/>
        <w:t>Characteristics of the seed</w:t>
      </w:r>
    </w:p>
    <w:p w14:paraId="59B41A14" w14:textId="77777777" w:rsidR="00B40CBD" w:rsidRPr="00AA5E0A" w:rsidRDefault="001B2579" w:rsidP="00E45A97">
      <w:pPr>
        <w:pStyle w:val="111"/>
        <w:rPr>
          <w:lang w:val="en-IE"/>
        </w:rPr>
      </w:pPr>
      <w:r w:rsidRPr="00AA5E0A">
        <w:rPr>
          <w:lang w:val="en-IE"/>
        </w:rPr>
        <w:t>2.1.1.</w:t>
      </w:r>
      <w:r w:rsidR="00B40CBD" w:rsidRPr="00AA5E0A">
        <w:rPr>
          <w:lang w:val="en-IE"/>
        </w:rPr>
        <w:tab/>
        <w:t>Biological characteristics</w:t>
      </w:r>
    </w:p>
    <w:p w14:paraId="59B41A15" w14:textId="53E7FEB3" w:rsidR="00B40CBD" w:rsidRPr="00AA5E0A" w:rsidRDefault="00B40CBD" w:rsidP="00E45A97">
      <w:pPr>
        <w:pStyle w:val="111Para"/>
        <w:rPr>
          <w:lang w:val="en-IE"/>
        </w:rPr>
      </w:pPr>
      <w:r w:rsidRPr="00AA5E0A">
        <w:rPr>
          <w:lang w:val="en-IE"/>
        </w:rPr>
        <w:t>Anthrax vaccine production is based on the seed-lot system. A seed lot is a quantity of spores of uniform composition processed at one time and maintained for the purpose of vaccine preparation. Each seed lot is no more than three passages from the parent culture and must produce a vaccine that is efficacious and safe for use in animals. It is recommended that a large seed lot be prepared from the parent strain and preserved by lyophilisation for future production lots. The parent culture can be purchased</w:t>
      </w:r>
      <w:r w:rsidRPr="00AA5E0A">
        <w:rPr>
          <w:rStyle w:val="FootnoteReference"/>
          <w:szCs w:val="14"/>
          <w:lang w:val="en-IE"/>
        </w:rPr>
        <w:footnoteReference w:id="2"/>
      </w:r>
      <w:r w:rsidRPr="00AA5E0A">
        <w:rPr>
          <w:lang w:val="en-IE"/>
        </w:rPr>
        <w:t xml:space="preserve">. </w:t>
      </w:r>
    </w:p>
    <w:p w14:paraId="59B41A16" w14:textId="77777777" w:rsidR="00B40CBD" w:rsidRPr="00AA5E0A" w:rsidRDefault="001B2579" w:rsidP="00E45A97">
      <w:pPr>
        <w:pStyle w:val="111"/>
        <w:rPr>
          <w:lang w:val="en-IE"/>
        </w:rPr>
      </w:pPr>
      <w:r w:rsidRPr="00AA5E0A">
        <w:rPr>
          <w:lang w:val="en-IE"/>
        </w:rPr>
        <w:t>2.1.2.</w:t>
      </w:r>
      <w:r w:rsidR="00554C82" w:rsidRPr="00AA5E0A">
        <w:rPr>
          <w:lang w:val="en-IE"/>
        </w:rPr>
        <w:tab/>
        <w:t>Quality criteria</w:t>
      </w:r>
    </w:p>
    <w:p w14:paraId="59B41A17" w14:textId="77777777" w:rsidR="00B40CBD" w:rsidRPr="00AA5E0A" w:rsidRDefault="00B40CBD" w:rsidP="00E45A97">
      <w:pPr>
        <w:pStyle w:val="111Para"/>
        <w:rPr>
          <w:lang w:val="en-IE"/>
        </w:rPr>
      </w:pPr>
      <w:r w:rsidRPr="00AA5E0A">
        <w:rPr>
          <w:lang w:val="en-IE"/>
        </w:rPr>
        <w:t>The seed lot is acceptable for anthrax vaccine if a vaccine prepared from the seed lot or a suspension harvested from a culture derived from a seed lot meets the requirements for control of final bulk with respect to freedom from bacterial contamination, safety and efficacy (immunogenicity).</w:t>
      </w:r>
    </w:p>
    <w:p w14:paraId="59B41A18" w14:textId="77777777" w:rsidR="00B40CBD" w:rsidRPr="00AA5E0A" w:rsidRDefault="001B2579" w:rsidP="00AB46F7">
      <w:pPr>
        <w:pStyle w:val="11"/>
        <w:spacing w:after="120"/>
        <w:rPr>
          <w:lang w:val="en-IE"/>
        </w:rPr>
      </w:pPr>
      <w:r w:rsidRPr="00AA5E0A">
        <w:rPr>
          <w:lang w:val="en-IE"/>
        </w:rPr>
        <w:t>2.2.</w:t>
      </w:r>
      <w:r w:rsidR="00B40CBD" w:rsidRPr="00AA5E0A">
        <w:rPr>
          <w:lang w:val="en-IE"/>
        </w:rPr>
        <w:tab/>
        <w:t>Method of manufacture</w:t>
      </w:r>
    </w:p>
    <w:p w14:paraId="59B41A19" w14:textId="77777777" w:rsidR="00B40CBD" w:rsidRPr="00AA5E0A" w:rsidRDefault="001B2579" w:rsidP="00AB46F7">
      <w:pPr>
        <w:pStyle w:val="111"/>
        <w:rPr>
          <w:lang w:val="en-IE"/>
        </w:rPr>
      </w:pPr>
      <w:r w:rsidRPr="00AA5E0A">
        <w:rPr>
          <w:lang w:val="en-IE"/>
        </w:rPr>
        <w:t>2.2.1.</w:t>
      </w:r>
      <w:r w:rsidR="00D16C96" w:rsidRPr="00AA5E0A">
        <w:rPr>
          <w:lang w:val="en-IE"/>
        </w:rPr>
        <w:tab/>
        <w:t>Procedure</w:t>
      </w:r>
    </w:p>
    <w:p w14:paraId="59B41A1A" w14:textId="77777777" w:rsidR="00B40CBD" w:rsidRPr="00AA5E0A" w:rsidRDefault="001B2579" w:rsidP="00AB46F7">
      <w:pPr>
        <w:pStyle w:val="i"/>
        <w:rPr>
          <w:lang w:val="en-IE"/>
        </w:rPr>
      </w:pPr>
      <w:r w:rsidRPr="00AA5E0A">
        <w:rPr>
          <w:lang w:val="en-IE"/>
        </w:rPr>
        <w:t>i)</w:t>
      </w:r>
      <w:r w:rsidRPr="00AA5E0A">
        <w:rPr>
          <w:lang w:val="en-IE"/>
        </w:rPr>
        <w:tab/>
      </w:r>
      <w:r w:rsidR="00B40CBD" w:rsidRPr="00AA5E0A">
        <w:rPr>
          <w:lang w:val="en-IE"/>
        </w:rPr>
        <w:t>Preparation of the master seed</w:t>
      </w:r>
    </w:p>
    <w:p w14:paraId="59B41A1B" w14:textId="299EECFD" w:rsidR="00B40CBD" w:rsidRPr="00AA5E0A" w:rsidRDefault="00B40CBD" w:rsidP="00AB46F7">
      <w:pPr>
        <w:pStyle w:val="afourthpara"/>
        <w:rPr>
          <w:lang w:val="en-IE"/>
        </w:rPr>
      </w:pPr>
      <w:r w:rsidRPr="00AA5E0A">
        <w:rPr>
          <w:lang w:val="en-IE"/>
        </w:rPr>
        <w:t>Seed lots are cultured on solid media formulated to promote sporulation of the organism. The solid medium formula for casein digest agar (sporulation agar)</w:t>
      </w:r>
      <w:r w:rsidR="00D63ACB" w:rsidRPr="00AA5E0A">
        <w:rPr>
          <w:lang w:val="en-IE"/>
        </w:rPr>
        <w:t xml:space="preserve"> </w:t>
      </w:r>
      <w:r w:rsidRPr="00AA5E0A">
        <w:rPr>
          <w:lang w:val="en-IE"/>
        </w:rPr>
        <w:t xml:space="preserve">given in </w:t>
      </w:r>
      <w:proofErr w:type="spellStart"/>
      <w:r w:rsidRPr="00AA5E0A">
        <w:rPr>
          <w:lang w:val="en-IE"/>
        </w:rPr>
        <w:t>Misra</w:t>
      </w:r>
      <w:proofErr w:type="spellEnd"/>
      <w:r w:rsidRPr="00AA5E0A">
        <w:rPr>
          <w:lang w:val="en-IE"/>
        </w:rPr>
        <w:t xml:space="preserve"> (1991) is: 50 g tryptic digest of casein; 10 g yeast extract; 0.1 g CaCl</w:t>
      </w:r>
      <w:r w:rsidRPr="00AA5E0A">
        <w:rPr>
          <w:vertAlign w:val="subscript"/>
          <w:lang w:val="en-IE"/>
        </w:rPr>
        <w:t>2</w:t>
      </w:r>
      <w:r w:rsidRPr="00AA5E0A">
        <w:rPr>
          <w:lang w:val="en-IE"/>
        </w:rPr>
        <w:t>.6H</w:t>
      </w:r>
      <w:r w:rsidRPr="00AA5E0A">
        <w:rPr>
          <w:vertAlign w:val="subscript"/>
          <w:lang w:val="en-IE"/>
        </w:rPr>
        <w:t>2</w:t>
      </w:r>
      <w:r w:rsidRPr="00AA5E0A">
        <w:rPr>
          <w:lang w:val="en-IE"/>
        </w:rPr>
        <w:t>O; 0.01 g FeSO</w:t>
      </w:r>
      <w:r w:rsidRPr="00AA5E0A">
        <w:rPr>
          <w:vertAlign w:val="subscript"/>
          <w:lang w:val="en-IE"/>
        </w:rPr>
        <w:t>4</w:t>
      </w:r>
      <w:r w:rsidRPr="00AA5E0A">
        <w:rPr>
          <w:lang w:val="en-IE"/>
        </w:rPr>
        <w:t>.7H</w:t>
      </w:r>
      <w:r w:rsidRPr="00AA5E0A">
        <w:rPr>
          <w:vertAlign w:val="subscript"/>
          <w:lang w:val="en-IE"/>
        </w:rPr>
        <w:t>2</w:t>
      </w:r>
      <w:r w:rsidRPr="00AA5E0A">
        <w:rPr>
          <w:lang w:val="en-IE"/>
        </w:rPr>
        <w:t>O; 0.05 g MgSO</w:t>
      </w:r>
      <w:r w:rsidRPr="00AA5E0A">
        <w:rPr>
          <w:vertAlign w:val="subscript"/>
          <w:lang w:val="en-IE"/>
        </w:rPr>
        <w:t>4</w:t>
      </w:r>
      <w:r w:rsidRPr="00AA5E0A">
        <w:rPr>
          <w:lang w:val="en-IE"/>
        </w:rPr>
        <w:t>.7H</w:t>
      </w:r>
      <w:r w:rsidRPr="00AA5E0A">
        <w:rPr>
          <w:vertAlign w:val="subscript"/>
          <w:lang w:val="en-IE"/>
        </w:rPr>
        <w:t>2</w:t>
      </w:r>
      <w:r w:rsidRPr="00AA5E0A">
        <w:rPr>
          <w:lang w:val="en-IE"/>
        </w:rPr>
        <w:t>O; 0.03 g MnSO</w:t>
      </w:r>
      <w:r w:rsidRPr="00AA5E0A">
        <w:rPr>
          <w:vertAlign w:val="subscript"/>
          <w:lang w:val="en-IE"/>
        </w:rPr>
        <w:t>4</w:t>
      </w:r>
      <w:r w:rsidRPr="00AA5E0A">
        <w:rPr>
          <w:lang w:val="en-IE"/>
        </w:rPr>
        <w:t>.4H</w:t>
      </w:r>
      <w:r w:rsidRPr="00AA5E0A">
        <w:rPr>
          <w:vertAlign w:val="subscript"/>
          <w:lang w:val="en-IE"/>
        </w:rPr>
        <w:t>2</w:t>
      </w:r>
      <w:r w:rsidRPr="00AA5E0A">
        <w:rPr>
          <w:lang w:val="en-IE"/>
        </w:rPr>
        <w:t>O; 5.0 g K</w:t>
      </w:r>
      <w:r w:rsidRPr="00AA5E0A">
        <w:rPr>
          <w:vertAlign w:val="subscript"/>
          <w:lang w:val="en-IE"/>
        </w:rPr>
        <w:t>2</w:t>
      </w:r>
      <w:r w:rsidRPr="00AA5E0A">
        <w:rPr>
          <w:lang w:val="en-IE"/>
        </w:rPr>
        <w:t>HPO</w:t>
      </w:r>
      <w:r w:rsidRPr="00AA5E0A">
        <w:rPr>
          <w:vertAlign w:val="subscript"/>
          <w:lang w:val="en-IE"/>
        </w:rPr>
        <w:t>4</w:t>
      </w:r>
      <w:r w:rsidRPr="00AA5E0A">
        <w:rPr>
          <w:lang w:val="en-IE"/>
        </w:rPr>
        <w:t>; 1.0 g KH</w:t>
      </w:r>
      <w:r w:rsidRPr="00AA5E0A">
        <w:rPr>
          <w:vertAlign w:val="subscript"/>
          <w:lang w:val="en-IE"/>
        </w:rPr>
        <w:t>2</w:t>
      </w:r>
      <w:r w:rsidRPr="00AA5E0A">
        <w:rPr>
          <w:lang w:val="en-IE"/>
        </w:rPr>
        <w:t>PO</w:t>
      </w:r>
      <w:r w:rsidRPr="00AA5E0A">
        <w:rPr>
          <w:vertAlign w:val="subscript"/>
          <w:lang w:val="en-IE"/>
        </w:rPr>
        <w:t>4</w:t>
      </w:r>
      <w:r w:rsidRPr="00AA5E0A">
        <w:rPr>
          <w:lang w:val="en-IE"/>
        </w:rPr>
        <w:t>; 22 g agar; 1000</w:t>
      </w:r>
      <w:r w:rsidR="00D266E0" w:rsidRPr="00AA5E0A">
        <w:rPr>
          <w:lang w:val="en-IE"/>
        </w:rPr>
        <w:t> </w:t>
      </w:r>
      <w:r w:rsidRPr="00AA5E0A">
        <w:rPr>
          <w:lang w:val="en-IE"/>
        </w:rPr>
        <w:t>ml deionised or distilled water. The ingredients are dissolved in the water with the appropriate amount of heating; the solution is adjusted to pH 7.4, distributed into Roux bottles (120 ml per bottle) or other appropriate container, sterilised by autoclaving and cooled in the horizontal position. After the agar has solidified, excess liquid should be removed aseptically and the bottles left in an incubator (37°C) for at least 2 days to dry and to check the sterility.</w:t>
      </w:r>
    </w:p>
    <w:p w14:paraId="59B41A1C" w14:textId="77777777" w:rsidR="00B40CBD" w:rsidRPr="00AA5E0A" w:rsidRDefault="00B40CBD" w:rsidP="00E45A97">
      <w:pPr>
        <w:pStyle w:val="afourthpara"/>
        <w:rPr>
          <w:lang w:val="en-IE"/>
        </w:rPr>
      </w:pPr>
      <w:r w:rsidRPr="00AA5E0A">
        <w:rPr>
          <w:lang w:val="en-IE"/>
        </w:rPr>
        <w:t>Volumes of 2 ml of vaccine seed should be spread across the agar in Roux bottles, which should be incubated at 37°C until at least 80% sporulation is apparent by microscopic examination of aseptically extracted loopfuls (at least 72 hours). The growth is harvested with 10 ml per bottle of sterile deionised or distilled water and checked for purity. After washing three times in sterile deionised or distilled water with final suspension, also in sterile deionised or distilled water, sterilised lyophilisation stabiliser is added and the suspension is dispensed into lyophilisation vials and freeze-dried.</w:t>
      </w:r>
    </w:p>
    <w:p w14:paraId="59B41A1D" w14:textId="77777777" w:rsidR="00B40CBD" w:rsidRPr="00AA5E0A" w:rsidRDefault="00B40CBD" w:rsidP="00E45A97">
      <w:pPr>
        <w:pStyle w:val="afourthpara"/>
        <w:rPr>
          <w:lang w:val="en-IE"/>
        </w:rPr>
      </w:pPr>
      <w:r w:rsidRPr="00AA5E0A">
        <w:rPr>
          <w:lang w:val="en-IE"/>
        </w:rPr>
        <w:t>Attenuated vaccine strains can gradually lose their antigenicity over repeated subculturing conditions. Therefore, it is recommended that master seed lots be made in bulk and kept within three passages from the original seed culture. A large number of master seed stocks should be prepared.</w:t>
      </w:r>
    </w:p>
    <w:p w14:paraId="59B41A1E" w14:textId="77777777" w:rsidR="00B40CBD" w:rsidRPr="00AA5E0A" w:rsidRDefault="001B2579" w:rsidP="00E45A97">
      <w:pPr>
        <w:pStyle w:val="i"/>
        <w:rPr>
          <w:lang w:val="en-IE"/>
        </w:rPr>
      </w:pPr>
      <w:r w:rsidRPr="00AA5E0A">
        <w:rPr>
          <w:lang w:val="en-IE"/>
        </w:rPr>
        <w:t>ii)</w:t>
      </w:r>
      <w:r w:rsidRPr="00AA5E0A">
        <w:rPr>
          <w:lang w:val="en-IE"/>
        </w:rPr>
        <w:tab/>
      </w:r>
      <w:r w:rsidR="00B40CBD" w:rsidRPr="00AA5E0A">
        <w:rPr>
          <w:lang w:val="en-IE"/>
        </w:rPr>
        <w:t>Preparation and testing of the working seed</w:t>
      </w:r>
    </w:p>
    <w:p w14:paraId="59B41A1F" w14:textId="77777777" w:rsidR="00B40CBD" w:rsidRPr="00AA5E0A" w:rsidRDefault="00B40CBD" w:rsidP="00E45A97">
      <w:pPr>
        <w:pStyle w:val="afourthpara"/>
      </w:pPr>
      <w:r w:rsidRPr="00AA5E0A">
        <w:t xml:space="preserve">Reconstitute a vial of seed stock and inoculate several slants (approximately 10 ml) of sporulation (casein digest) agar. Incubate at 37°C for 72 hours and store in a refrigerator. Test the slants for purity by culture on to nutrient agar plates and in nutrient broth (0.1 ml in 100 ml of nutrient broth). The latter should be </w:t>
      </w:r>
      <w:proofErr w:type="spellStart"/>
      <w:r w:rsidRPr="00AA5E0A">
        <w:t>subcultured</w:t>
      </w:r>
      <w:proofErr w:type="spellEnd"/>
      <w:r w:rsidRPr="00AA5E0A">
        <w:t xml:space="preserve"> on to nutrient agar after incubation at 37°C for 7 days and should </w:t>
      </w:r>
      <w:r w:rsidRPr="00AA5E0A">
        <w:lastRenderedPageBreak/>
        <w:t xml:space="preserve">be a pure culture of </w:t>
      </w:r>
      <w:r w:rsidRPr="00AA5E0A">
        <w:rPr>
          <w:i/>
        </w:rPr>
        <w:t>B. anthracis</w:t>
      </w:r>
      <w:r w:rsidRPr="00AA5E0A">
        <w:t xml:space="preserve">. A sample of the broth culture should also be checked for lack of motility. </w:t>
      </w:r>
    </w:p>
    <w:p w14:paraId="59B41A20" w14:textId="77777777" w:rsidR="00B40CBD" w:rsidRPr="00AA5E0A" w:rsidRDefault="00B40CBD" w:rsidP="00E45A97">
      <w:pPr>
        <w:pStyle w:val="afourthpara"/>
      </w:pPr>
      <w:r w:rsidRPr="00AA5E0A">
        <w:t>Volumes of seed needed for a production run should be calculated on the basis of harvesting the spores from each slant with 10 ml of sterile deionised or distilled water and using this to inoculate five Roux bottles.</w:t>
      </w:r>
    </w:p>
    <w:p w14:paraId="59B41A21" w14:textId="77777777" w:rsidR="00B40CBD" w:rsidRPr="00AA5E0A" w:rsidRDefault="001B2579" w:rsidP="00E45A97">
      <w:pPr>
        <w:pStyle w:val="i"/>
        <w:rPr>
          <w:lang w:val="en-IE"/>
        </w:rPr>
      </w:pPr>
      <w:r w:rsidRPr="00AA5E0A">
        <w:rPr>
          <w:lang w:val="en-IE"/>
        </w:rPr>
        <w:t>iii)</w:t>
      </w:r>
      <w:r w:rsidRPr="00AA5E0A">
        <w:rPr>
          <w:lang w:val="en-IE"/>
        </w:rPr>
        <w:tab/>
      </w:r>
      <w:r w:rsidR="00B40CBD" w:rsidRPr="00AA5E0A">
        <w:rPr>
          <w:lang w:val="en-IE"/>
        </w:rPr>
        <w:t>Preparation of vaccine concentrate</w:t>
      </w:r>
    </w:p>
    <w:p w14:paraId="59B41A22" w14:textId="77777777" w:rsidR="00B40CBD" w:rsidRPr="00AA5E0A" w:rsidRDefault="00B40CBD" w:rsidP="00E45A97">
      <w:pPr>
        <w:pStyle w:val="afourthpara"/>
      </w:pPr>
      <w:r w:rsidRPr="00AA5E0A">
        <w:t>Roux bottles with casein digest agar are prepared as for the master seed in Section C.</w:t>
      </w:r>
      <w:r w:rsidR="00140A00" w:rsidRPr="00AA5E0A">
        <w:t>2</w:t>
      </w:r>
      <w:r w:rsidRPr="00AA5E0A">
        <w:t>.</w:t>
      </w:r>
      <w:r w:rsidR="009B7FA6" w:rsidRPr="00AA5E0A">
        <w:t>2</w:t>
      </w:r>
      <w:r w:rsidR="00140A00" w:rsidRPr="00AA5E0A">
        <w:t>.1.i</w:t>
      </w:r>
      <w:r w:rsidRPr="00AA5E0A">
        <w:t xml:space="preserve"> above. One Roux bottle can be expected to yield about 2000 doses of vaccine. Each Roux bottle is inoculated with 2 ml of working seed suspension and incubated at 37°C with porous plugs for several days until small loopfuls of culture from randomly selected bottles show at least 90% of the organisms to be in sporulated forms when examined in wet mounts by phase contrast (phase bright spores) or following staining for spores. The growth from each bottle is then harvested with 20 ml of physiological saline. Tests for contaminants should be carried out by subculture to nutrient agar plates and inoculation of 100 ml nutrient broth with 0.1 ml of harvested spores followed by subculture to nutrient agar after 7 days at 37°C and by tests for motility. Acceptable harvests (i.e. those showing no evidence of contaminants) are pooled.</w:t>
      </w:r>
    </w:p>
    <w:p w14:paraId="59B41A23" w14:textId="77777777" w:rsidR="00B40CBD" w:rsidRPr="00AA5E0A" w:rsidRDefault="001B2579" w:rsidP="00E45A97">
      <w:pPr>
        <w:pStyle w:val="i"/>
        <w:rPr>
          <w:lang w:val="en-IE"/>
        </w:rPr>
      </w:pPr>
      <w:r w:rsidRPr="00AA5E0A">
        <w:rPr>
          <w:lang w:val="en-IE"/>
        </w:rPr>
        <w:t>iv)</w:t>
      </w:r>
      <w:r w:rsidRPr="00AA5E0A">
        <w:rPr>
          <w:lang w:val="en-IE"/>
        </w:rPr>
        <w:tab/>
      </w:r>
      <w:proofErr w:type="spellStart"/>
      <w:r w:rsidR="00B40CBD" w:rsidRPr="00AA5E0A">
        <w:rPr>
          <w:lang w:val="en-IE"/>
        </w:rPr>
        <w:t>Glycerination</w:t>
      </w:r>
      <w:proofErr w:type="spellEnd"/>
    </w:p>
    <w:p w14:paraId="59B41A24" w14:textId="77777777" w:rsidR="00B40CBD" w:rsidRPr="00AA5E0A" w:rsidRDefault="00B40CBD" w:rsidP="00E45A97">
      <w:pPr>
        <w:pStyle w:val="afourthpara"/>
      </w:pPr>
      <w:r w:rsidRPr="00AA5E0A">
        <w:t>Twice the volume of sterile, pure, neutral glycerol should be added to the bulk pool</w:t>
      </w:r>
      <w:r w:rsidR="00210367" w:rsidRPr="00AA5E0A">
        <w:t xml:space="preserve"> </w:t>
      </w:r>
      <w:r w:rsidRPr="00AA5E0A">
        <w:t>of vaccine concentrate. Saponin (0.1% final concentration) may also be added at this point if it is to be included as an adjuvant. Mix thoroughly (the inclusion of sterilised glass beads may be helpful). Carry out a purity test and hold for 3 weeks at ambient temperature to allow lysis of any vegetative bacteria, determine the viable spore count and store under refrigeration thereafter.</w:t>
      </w:r>
    </w:p>
    <w:p w14:paraId="59B41A25" w14:textId="77777777" w:rsidR="00B40CBD" w:rsidRPr="00AA5E0A" w:rsidRDefault="001B2579" w:rsidP="00D63ACB">
      <w:pPr>
        <w:pStyle w:val="i"/>
        <w:keepNext/>
        <w:rPr>
          <w:lang w:val="en-IE"/>
        </w:rPr>
      </w:pPr>
      <w:r w:rsidRPr="00AA5E0A">
        <w:rPr>
          <w:lang w:val="en-IE"/>
        </w:rPr>
        <w:t>v)</w:t>
      </w:r>
      <w:r w:rsidRPr="00AA5E0A">
        <w:rPr>
          <w:lang w:val="en-IE"/>
        </w:rPr>
        <w:tab/>
      </w:r>
      <w:r w:rsidR="00B40CBD" w:rsidRPr="00AA5E0A">
        <w:rPr>
          <w:lang w:val="en-IE"/>
        </w:rPr>
        <w:t>Determining titre and dilution for use</w:t>
      </w:r>
    </w:p>
    <w:p w14:paraId="59B41A26" w14:textId="39A69D09" w:rsidR="00B40CBD" w:rsidRPr="00AA5E0A" w:rsidRDefault="00B40CBD" w:rsidP="00E45A97">
      <w:pPr>
        <w:pStyle w:val="afourthpara"/>
        <w:rPr>
          <w:lang w:val="en-IE"/>
        </w:rPr>
      </w:pPr>
      <w:r w:rsidRPr="00AA5E0A">
        <w:rPr>
          <w:lang w:val="en-IE"/>
        </w:rPr>
        <w:t>The number of culturable spores in the product is then calculated by spreading tenfold dilutions on nutrient agar plates. The suspension is diluted so that the final bulk contains the number of culturable spores desired. The diluent should contain the same proportions of saline, glycerol and (if being included) saponin as present in the vaccine concentrate. The vaccine should contain a minimum of 2–10 × 10</w:t>
      </w:r>
      <w:r w:rsidR="00D63ACB" w:rsidRPr="00AA5E0A">
        <w:rPr>
          <w:vertAlign w:val="superscript"/>
          <w:lang w:val="en-IE"/>
        </w:rPr>
        <w:t>6</w:t>
      </w:r>
      <w:r w:rsidRPr="00AA5E0A">
        <w:rPr>
          <w:lang w:val="en-IE"/>
        </w:rPr>
        <w:t xml:space="preserve"> culturable spores per dose for cattle, buffaloes and horses, and not less than 1–5 × 10</w:t>
      </w:r>
      <w:r w:rsidR="00D63ACB" w:rsidRPr="00AA5E0A">
        <w:rPr>
          <w:vertAlign w:val="superscript"/>
          <w:lang w:val="en-IE"/>
        </w:rPr>
        <w:t>6</w:t>
      </w:r>
      <w:r w:rsidR="00B93AA3" w:rsidRPr="00AA5E0A">
        <w:rPr>
          <w:lang w:val="en-IE"/>
        </w:rPr>
        <w:t> </w:t>
      </w:r>
      <w:r w:rsidRPr="00AA5E0A">
        <w:rPr>
          <w:lang w:val="en-IE"/>
        </w:rPr>
        <w:t>culturable spores per dose for sheep, goats and pigs.</w:t>
      </w:r>
    </w:p>
    <w:p w14:paraId="59B41A27" w14:textId="77777777" w:rsidR="00B40CBD" w:rsidRPr="00AA5E0A" w:rsidRDefault="001B2579" w:rsidP="00E45A97">
      <w:pPr>
        <w:pStyle w:val="i"/>
        <w:rPr>
          <w:lang w:val="en-IE"/>
        </w:rPr>
      </w:pPr>
      <w:r w:rsidRPr="00AA5E0A">
        <w:rPr>
          <w:lang w:val="en-IE"/>
        </w:rPr>
        <w:t>vi)</w:t>
      </w:r>
      <w:r w:rsidRPr="00AA5E0A">
        <w:rPr>
          <w:lang w:val="en-IE"/>
        </w:rPr>
        <w:tab/>
      </w:r>
      <w:r w:rsidR="00B40CBD" w:rsidRPr="00AA5E0A">
        <w:rPr>
          <w:lang w:val="en-IE"/>
        </w:rPr>
        <w:t>Filling the containers</w:t>
      </w:r>
    </w:p>
    <w:p w14:paraId="59B41A28" w14:textId="77777777" w:rsidR="00B40CBD" w:rsidRPr="00AA5E0A" w:rsidRDefault="00B40CBD" w:rsidP="00E45A97">
      <w:pPr>
        <w:pStyle w:val="afourthpara"/>
        <w:rPr>
          <w:lang w:val="en-IE"/>
        </w:rPr>
      </w:pPr>
      <w:r w:rsidRPr="00AA5E0A">
        <w:rPr>
          <w:lang w:val="en-IE"/>
        </w:rPr>
        <w:t xml:space="preserve">Distribution of aliquots of vaccine into single and multidose containers is performed as outlined in WHO </w:t>
      </w:r>
      <w:r w:rsidR="0082681A" w:rsidRPr="00AA5E0A">
        <w:rPr>
          <w:lang w:val="en-IE"/>
        </w:rPr>
        <w:t>(</w:t>
      </w:r>
      <w:r w:rsidRPr="00AA5E0A">
        <w:rPr>
          <w:lang w:val="en-IE"/>
        </w:rPr>
        <w:t>1965</w:t>
      </w:r>
      <w:r w:rsidR="0082681A" w:rsidRPr="00AA5E0A">
        <w:rPr>
          <w:lang w:val="en-IE"/>
        </w:rPr>
        <w:t>)</w:t>
      </w:r>
      <w:r w:rsidRPr="00AA5E0A">
        <w:rPr>
          <w:lang w:val="en-IE"/>
        </w:rPr>
        <w:t>. Basically, the final bulk is distributed to containers in an aseptic manner in an area not used for production, and any contamination or alteration of the product must be avoided. The vaccine may be lyophilised after distribution into appropriate dosage containers. Containers are sealed as soon as possible with a material that is not detrimental to the product and that is capable of maintaining a hermetic seal for the life of the vaccine.</w:t>
      </w:r>
    </w:p>
    <w:p w14:paraId="59B41A29" w14:textId="77777777" w:rsidR="00B40CBD" w:rsidRPr="00AA5E0A" w:rsidRDefault="00E45A97" w:rsidP="00E45A97">
      <w:pPr>
        <w:pStyle w:val="11"/>
      </w:pPr>
      <w:r w:rsidRPr="00AA5E0A">
        <w:rPr>
          <w:lang w:val="en-IE"/>
        </w:rPr>
        <w:t>2.</w:t>
      </w:r>
      <w:r w:rsidR="00140A00" w:rsidRPr="00AA5E0A">
        <w:rPr>
          <w:lang w:val="en-IE"/>
        </w:rPr>
        <w:t>3</w:t>
      </w:r>
      <w:r w:rsidR="001B2579" w:rsidRPr="00AA5E0A">
        <w:rPr>
          <w:lang w:val="en-IE"/>
        </w:rPr>
        <w:t>.</w:t>
      </w:r>
      <w:r w:rsidR="00B40CBD" w:rsidRPr="00AA5E0A">
        <w:tab/>
        <w:t>Requirements for substrates and media</w:t>
      </w:r>
    </w:p>
    <w:p w14:paraId="59B41A2A" w14:textId="77777777" w:rsidR="00B40CBD" w:rsidRPr="00AA5E0A" w:rsidRDefault="00B40CBD" w:rsidP="00E45A97">
      <w:pPr>
        <w:pStyle w:val="11Para"/>
      </w:pPr>
      <w:r w:rsidRPr="00AA5E0A">
        <w:t xml:space="preserve">Please refer to </w:t>
      </w:r>
      <w:proofErr w:type="spellStart"/>
      <w:r w:rsidRPr="00AA5E0A">
        <w:t>Misra</w:t>
      </w:r>
      <w:proofErr w:type="spellEnd"/>
      <w:r w:rsidRPr="00AA5E0A">
        <w:t xml:space="preserve"> (1991) for detailed information on substrates and media used for anthrax vaccine production.</w:t>
      </w:r>
    </w:p>
    <w:p w14:paraId="59B41A2B" w14:textId="77777777" w:rsidR="00B40CBD" w:rsidRPr="00AA5E0A" w:rsidRDefault="001B2579" w:rsidP="00E45A97">
      <w:pPr>
        <w:pStyle w:val="111"/>
        <w:rPr>
          <w:lang w:val="en-IE"/>
        </w:rPr>
      </w:pPr>
      <w:r w:rsidRPr="00AA5E0A">
        <w:rPr>
          <w:lang w:val="en-IE"/>
        </w:rPr>
        <w:t>2.</w:t>
      </w:r>
      <w:r w:rsidR="00140A00" w:rsidRPr="00AA5E0A">
        <w:rPr>
          <w:lang w:val="en-IE"/>
        </w:rPr>
        <w:t>3.1</w:t>
      </w:r>
      <w:r w:rsidRPr="00AA5E0A">
        <w:rPr>
          <w:lang w:val="en-IE"/>
        </w:rPr>
        <w:t>.</w:t>
      </w:r>
      <w:r w:rsidR="00B40CBD" w:rsidRPr="00AA5E0A">
        <w:rPr>
          <w:lang w:val="en-IE"/>
        </w:rPr>
        <w:tab/>
        <w:t>In-process controls</w:t>
      </w:r>
    </w:p>
    <w:p w14:paraId="59B41A2C" w14:textId="77777777" w:rsidR="00B40CBD" w:rsidRPr="00AA5E0A" w:rsidRDefault="001B2579" w:rsidP="00E45A97">
      <w:pPr>
        <w:pStyle w:val="i"/>
        <w:rPr>
          <w:lang w:val="en-IE"/>
        </w:rPr>
      </w:pPr>
      <w:r w:rsidRPr="00AA5E0A">
        <w:rPr>
          <w:lang w:val="en-IE"/>
        </w:rPr>
        <w:t>i)</w:t>
      </w:r>
      <w:r w:rsidRPr="00AA5E0A">
        <w:rPr>
          <w:lang w:val="en-IE"/>
        </w:rPr>
        <w:tab/>
      </w:r>
      <w:r w:rsidR="00B40CBD" w:rsidRPr="00AA5E0A">
        <w:rPr>
          <w:lang w:val="en-IE"/>
        </w:rPr>
        <w:t>Purity of the seed lot</w:t>
      </w:r>
    </w:p>
    <w:p w14:paraId="59B41A2D" w14:textId="77777777" w:rsidR="00B40CBD" w:rsidRPr="00AA5E0A" w:rsidRDefault="00B40CBD" w:rsidP="00E45A97">
      <w:pPr>
        <w:pStyle w:val="afourthpara"/>
        <w:rPr>
          <w:lang w:val="en-IE"/>
        </w:rPr>
      </w:pPr>
      <w:r w:rsidRPr="00AA5E0A">
        <w:rPr>
          <w:lang w:val="en-IE"/>
        </w:rPr>
        <w:t>Purity tests consist of microscopic examination of stained smears with culture and motility tests as described in Section C.2.</w:t>
      </w:r>
      <w:r w:rsidR="00140A00" w:rsidRPr="00AA5E0A">
        <w:rPr>
          <w:lang w:val="en-IE"/>
        </w:rPr>
        <w:t>2</w:t>
      </w:r>
      <w:r w:rsidRPr="00AA5E0A">
        <w:rPr>
          <w:lang w:val="en-IE"/>
        </w:rPr>
        <w:t>.</w:t>
      </w:r>
    </w:p>
    <w:p w14:paraId="59B41A2E" w14:textId="77777777" w:rsidR="00B40CBD" w:rsidRPr="00AA5E0A" w:rsidRDefault="001B2579" w:rsidP="00E45A97">
      <w:pPr>
        <w:pStyle w:val="i"/>
        <w:rPr>
          <w:lang w:val="en-IE"/>
        </w:rPr>
      </w:pPr>
      <w:r w:rsidRPr="00AA5E0A">
        <w:rPr>
          <w:lang w:val="en-IE"/>
        </w:rPr>
        <w:t>ii)</w:t>
      </w:r>
      <w:r w:rsidRPr="00AA5E0A">
        <w:rPr>
          <w:lang w:val="en-IE"/>
        </w:rPr>
        <w:tab/>
      </w:r>
      <w:r w:rsidR="00B40CBD" w:rsidRPr="00AA5E0A">
        <w:rPr>
          <w:lang w:val="en-IE"/>
        </w:rPr>
        <w:t>Safety of the seed lot</w:t>
      </w:r>
    </w:p>
    <w:p w14:paraId="59B41A2F" w14:textId="7506FE83" w:rsidR="00B40CBD" w:rsidRPr="00AA5E0A" w:rsidRDefault="00B40CBD" w:rsidP="00E45A97">
      <w:pPr>
        <w:pStyle w:val="afourthpara"/>
        <w:rPr>
          <w:lang w:val="en-IE"/>
        </w:rPr>
      </w:pPr>
      <w:r w:rsidRPr="00AA5E0A">
        <w:rPr>
          <w:lang w:val="en-IE"/>
        </w:rPr>
        <w:t>Not less than 5 × 10</w:t>
      </w:r>
      <w:r w:rsidR="00D63ACB" w:rsidRPr="00AA5E0A">
        <w:rPr>
          <w:vertAlign w:val="superscript"/>
          <w:lang w:val="en-IE"/>
        </w:rPr>
        <w:t>9</w:t>
      </w:r>
      <w:r w:rsidRPr="00AA5E0A">
        <w:rPr>
          <w:lang w:val="en-IE"/>
        </w:rPr>
        <w:t xml:space="preserve"> culturable spores should be injected subcutaneously into each of three healthy, 1–2-year-old, unvaccinated sheep, which must survive an observation period of at least 10 days.</w:t>
      </w:r>
    </w:p>
    <w:p w14:paraId="59B41A30" w14:textId="77777777" w:rsidR="00B40CBD" w:rsidRPr="00AA5E0A" w:rsidRDefault="001B2579" w:rsidP="00E45A97">
      <w:pPr>
        <w:pStyle w:val="i"/>
        <w:rPr>
          <w:lang w:val="en-IE"/>
        </w:rPr>
      </w:pPr>
      <w:r w:rsidRPr="00AA5E0A">
        <w:rPr>
          <w:lang w:val="en-IE"/>
        </w:rPr>
        <w:t>iii)</w:t>
      </w:r>
      <w:r w:rsidR="00E45A97" w:rsidRPr="00AA5E0A">
        <w:rPr>
          <w:lang w:val="en-IE"/>
        </w:rPr>
        <w:tab/>
      </w:r>
      <w:r w:rsidR="00B40CBD" w:rsidRPr="00AA5E0A">
        <w:rPr>
          <w:lang w:val="en-IE"/>
        </w:rPr>
        <w:t>Immunogenicity of the seed lot</w:t>
      </w:r>
    </w:p>
    <w:p w14:paraId="59B41A31" w14:textId="2C2A1FEF" w:rsidR="00B40CBD" w:rsidRPr="00AA5E0A" w:rsidRDefault="00B40CBD" w:rsidP="00E45A97">
      <w:pPr>
        <w:pStyle w:val="afourthpara"/>
        <w:rPr>
          <w:lang w:val="en-IE"/>
        </w:rPr>
      </w:pPr>
      <w:r w:rsidRPr="00AA5E0A">
        <w:rPr>
          <w:lang w:val="en-IE"/>
        </w:rPr>
        <w:lastRenderedPageBreak/>
        <w:t>At least 10 healthy guinea-pigs, 300–500 g in weight should be inoculated with 5</w:t>
      </w:r>
      <w:r w:rsidR="00B671C9" w:rsidRPr="00AA5E0A">
        <w:rPr>
          <w:lang w:val="en-IE"/>
        </w:rPr>
        <w:t> </w:t>
      </w:r>
      <w:r w:rsidRPr="00AA5E0A">
        <w:rPr>
          <w:lang w:val="en-IE"/>
        </w:rPr>
        <w:t>×</w:t>
      </w:r>
      <w:r w:rsidR="00B671C9" w:rsidRPr="00AA5E0A">
        <w:rPr>
          <w:lang w:val="en-IE"/>
        </w:rPr>
        <w:t> </w:t>
      </w:r>
      <w:r w:rsidRPr="00AA5E0A">
        <w:rPr>
          <w:lang w:val="en-IE"/>
        </w:rPr>
        <w:t>10</w:t>
      </w:r>
      <w:r w:rsidR="00D63ACB" w:rsidRPr="00AA5E0A">
        <w:rPr>
          <w:vertAlign w:val="superscript"/>
          <w:lang w:val="en-IE"/>
        </w:rPr>
        <w:t>6</w:t>
      </w:r>
      <w:r w:rsidR="007363C7" w:rsidRPr="00AA5E0A">
        <w:rPr>
          <w:lang w:val="en-IE"/>
        </w:rPr>
        <w:t> </w:t>
      </w:r>
      <w:r w:rsidRPr="00AA5E0A">
        <w:rPr>
          <w:lang w:val="en-IE"/>
        </w:rPr>
        <w:t>viable spores and observed for 21 days. At least 80% of the animals should survive. The immunised animals, together with three unimmunised controls, should then be challenged with 10 median lethal doses (LD</w:t>
      </w:r>
      <w:r w:rsidRPr="00AA5E0A">
        <w:rPr>
          <w:vertAlign w:val="subscript"/>
          <w:lang w:val="en-IE"/>
        </w:rPr>
        <w:t>50</w:t>
      </w:r>
      <w:r w:rsidRPr="00AA5E0A">
        <w:rPr>
          <w:lang w:val="en-IE"/>
        </w:rPr>
        <w:t xml:space="preserve">) of the strain 17 JB of </w:t>
      </w:r>
      <w:r w:rsidRPr="00AA5E0A">
        <w:rPr>
          <w:i/>
          <w:iCs/>
          <w:lang w:val="en-IE"/>
        </w:rPr>
        <w:t>B. anthracis</w:t>
      </w:r>
      <w:r w:rsidRPr="00AA5E0A">
        <w:rPr>
          <w:lang w:val="en-IE"/>
        </w:rPr>
        <w:t>. During a 10-day observation period, none of the immunised animals should succumb to the challenge while all the controls should die from anthrax. The test should be repeated if one of the immunised animals dies.</w:t>
      </w:r>
    </w:p>
    <w:p w14:paraId="59B41A32" w14:textId="234782A6" w:rsidR="00B40CBD" w:rsidRPr="00AA5E0A" w:rsidRDefault="00E45A97" w:rsidP="00E45A97">
      <w:pPr>
        <w:pStyle w:val="111"/>
        <w:rPr>
          <w:lang w:val="en-IE"/>
        </w:rPr>
      </w:pPr>
      <w:r w:rsidRPr="00AA5E0A">
        <w:rPr>
          <w:lang w:val="en-IE"/>
        </w:rPr>
        <w:t>2.</w:t>
      </w:r>
      <w:r w:rsidR="00140A00" w:rsidRPr="00AA5E0A">
        <w:rPr>
          <w:lang w:val="en-IE"/>
        </w:rPr>
        <w:t>3.2</w:t>
      </w:r>
      <w:r w:rsidRPr="00AA5E0A">
        <w:rPr>
          <w:lang w:val="en-IE"/>
        </w:rPr>
        <w:t>.</w:t>
      </w:r>
      <w:r w:rsidR="00B40CBD" w:rsidRPr="00AA5E0A">
        <w:rPr>
          <w:lang w:val="en-IE"/>
        </w:rPr>
        <w:tab/>
        <w:t>Final product batch tests</w:t>
      </w:r>
    </w:p>
    <w:p w14:paraId="59B41A33" w14:textId="77777777" w:rsidR="00B40CBD" w:rsidRPr="00AA5E0A" w:rsidRDefault="00E45A97" w:rsidP="00E45A97">
      <w:pPr>
        <w:pStyle w:val="i"/>
        <w:rPr>
          <w:lang w:val="en-IE"/>
        </w:rPr>
      </w:pPr>
      <w:r w:rsidRPr="00AA5E0A">
        <w:rPr>
          <w:lang w:val="en-IE"/>
        </w:rPr>
        <w:t>i)</w:t>
      </w:r>
      <w:r w:rsidRPr="00AA5E0A">
        <w:rPr>
          <w:lang w:val="en-IE"/>
        </w:rPr>
        <w:tab/>
      </w:r>
      <w:r w:rsidR="00B40CBD" w:rsidRPr="00AA5E0A">
        <w:rPr>
          <w:lang w:val="en-IE"/>
        </w:rPr>
        <w:t>Sterility</w:t>
      </w:r>
      <w:r w:rsidR="00210367" w:rsidRPr="00AA5E0A">
        <w:rPr>
          <w:lang w:val="en-IE"/>
        </w:rPr>
        <w:t xml:space="preserve"> </w:t>
      </w:r>
      <w:r w:rsidR="00B40CBD" w:rsidRPr="00AA5E0A">
        <w:rPr>
          <w:lang w:val="en-IE"/>
        </w:rPr>
        <w:t>and purity</w:t>
      </w:r>
    </w:p>
    <w:p w14:paraId="59B41A34" w14:textId="77777777" w:rsidR="00B40CBD" w:rsidRPr="00AA5E0A" w:rsidRDefault="00B40CBD" w:rsidP="00E45A97">
      <w:pPr>
        <w:pStyle w:val="afourthpara"/>
      </w:pPr>
      <w:r w:rsidRPr="00AA5E0A">
        <w:t xml:space="preserve">The vaccine is a live culture of </w:t>
      </w:r>
      <w:r w:rsidRPr="00AA5E0A">
        <w:rPr>
          <w:i/>
        </w:rPr>
        <w:t>B. anthracis</w:t>
      </w:r>
      <w:r w:rsidRPr="00AA5E0A">
        <w:t xml:space="preserve"> spores; sterility does not apply, but the batches must be tested for freedom from contamination (see Chapter 1.1.</w:t>
      </w:r>
      <w:r w:rsidR="009B7FA6" w:rsidRPr="00AA5E0A">
        <w:t>9</w:t>
      </w:r>
      <w:r w:rsidRPr="00AA5E0A">
        <w:t xml:space="preserve"> </w:t>
      </w:r>
      <w:r w:rsidRPr="00AA5E0A">
        <w:rPr>
          <w:i/>
        </w:rPr>
        <w:t>Tests for sterility and freedom from contamination</w:t>
      </w:r>
      <w:r w:rsidR="0056020E" w:rsidRPr="00AA5E0A">
        <w:rPr>
          <w:i/>
        </w:rPr>
        <w:t xml:space="preserve"> of biological materials intended for veterinary use</w:t>
      </w:r>
      <w:r w:rsidRPr="00AA5E0A">
        <w:t>).</w:t>
      </w:r>
    </w:p>
    <w:p w14:paraId="59B41A35" w14:textId="77777777" w:rsidR="00B40CBD" w:rsidRPr="00AA5E0A" w:rsidRDefault="00E45A97" w:rsidP="00E45A97">
      <w:pPr>
        <w:pStyle w:val="i"/>
        <w:rPr>
          <w:lang w:val="en-IE"/>
        </w:rPr>
      </w:pPr>
      <w:r w:rsidRPr="00AA5E0A">
        <w:rPr>
          <w:lang w:val="en-IE"/>
        </w:rPr>
        <w:t>ii)</w:t>
      </w:r>
      <w:r w:rsidRPr="00AA5E0A">
        <w:rPr>
          <w:lang w:val="en-IE"/>
        </w:rPr>
        <w:tab/>
      </w:r>
      <w:r w:rsidR="00B40CBD" w:rsidRPr="00AA5E0A">
        <w:rPr>
          <w:lang w:val="en-IE"/>
        </w:rPr>
        <w:t xml:space="preserve">Safety </w:t>
      </w:r>
    </w:p>
    <w:p w14:paraId="59B41A36" w14:textId="77777777" w:rsidR="00B40CBD" w:rsidRPr="00AA5E0A" w:rsidRDefault="00B40CBD" w:rsidP="00E45A97">
      <w:pPr>
        <w:pStyle w:val="afourthpara"/>
      </w:pPr>
      <w:r w:rsidRPr="00AA5E0A">
        <w:t>Safety testing is performed on two healthy sheep or goats and consists of inoculating subcutaneously twice the recommended vaccination dose. The animals are observed for 10 days. The final bulk passes the test if no systemic reactions develop and if not more than a transient oedema is observed at the injection site. If the test is carried out in sheep only, a progressive oedema indicates that the vaccine may be unsuitable for goats.</w:t>
      </w:r>
    </w:p>
    <w:p w14:paraId="59B41A37" w14:textId="77777777" w:rsidR="00B40CBD" w:rsidRPr="00AA5E0A" w:rsidRDefault="00E45A97" w:rsidP="00E45A97">
      <w:pPr>
        <w:pStyle w:val="i"/>
        <w:rPr>
          <w:lang w:val="en-IE"/>
        </w:rPr>
      </w:pPr>
      <w:r w:rsidRPr="00AA5E0A">
        <w:rPr>
          <w:lang w:val="en-IE"/>
        </w:rPr>
        <w:t>iii)</w:t>
      </w:r>
      <w:r w:rsidRPr="00AA5E0A">
        <w:rPr>
          <w:lang w:val="en-IE"/>
        </w:rPr>
        <w:tab/>
      </w:r>
      <w:r w:rsidR="00B40CBD" w:rsidRPr="00AA5E0A">
        <w:rPr>
          <w:lang w:val="en-IE"/>
        </w:rPr>
        <w:t>Batch potency</w:t>
      </w:r>
      <w:r w:rsidR="00210367" w:rsidRPr="00AA5E0A">
        <w:rPr>
          <w:lang w:val="en-IE"/>
        </w:rPr>
        <w:t xml:space="preserve"> </w:t>
      </w:r>
    </w:p>
    <w:p w14:paraId="59B41A38" w14:textId="77777777" w:rsidR="00B40CBD" w:rsidRPr="00AA5E0A" w:rsidRDefault="00B40CBD" w:rsidP="00E45A97">
      <w:pPr>
        <w:pStyle w:val="afourthpara"/>
        <w:rPr>
          <w:lang w:val="en-IE"/>
        </w:rPr>
      </w:pPr>
      <w:r w:rsidRPr="00AA5E0A">
        <w:rPr>
          <w:lang w:val="en-IE"/>
        </w:rPr>
        <w:t xml:space="preserve">Efficacy or immunogenicity is tested on the final bulk as follows: at least ten healthy 300–500 g guinea-pigs are inoculated with a sheep dose of the vaccine. The guinea-pigs are observed for 21 days, and at least 80% of the animals must survive the observation period. Surviving immunised guinea-pigs and three non-vaccinated controls are challenged with an appropriate dose of virulent </w:t>
      </w:r>
      <w:r w:rsidRPr="00AA5E0A">
        <w:rPr>
          <w:i/>
          <w:iCs/>
          <w:lang w:val="en-IE"/>
        </w:rPr>
        <w:t>B. anthracis</w:t>
      </w:r>
      <w:r w:rsidRPr="00AA5E0A">
        <w:rPr>
          <w:iCs/>
          <w:lang w:val="en-IE"/>
        </w:rPr>
        <w:t xml:space="preserve">. </w:t>
      </w:r>
      <w:r w:rsidRPr="00AA5E0A">
        <w:rPr>
          <w:lang w:val="en-IE"/>
        </w:rPr>
        <w:t>A recommended challenge is 200 LD</w:t>
      </w:r>
      <w:r w:rsidRPr="00AA5E0A">
        <w:rPr>
          <w:vertAlign w:val="subscript"/>
          <w:lang w:val="en-IE"/>
        </w:rPr>
        <w:t>50</w:t>
      </w:r>
      <w:r w:rsidRPr="00AA5E0A">
        <w:rPr>
          <w:lang w:val="en-IE"/>
        </w:rPr>
        <w:t xml:space="preserve"> of the Pasteur II strain (17JB). If, by 10 days after challenge, all vaccinated guinea-pigs survive and control animals die, the final bulk is deemed to be satisfactory. If any vaccinated animals die during the post-challenge observation period from a cause other than anthrax, and death is not associated with the vaccine, the test may be repeated.</w:t>
      </w:r>
    </w:p>
    <w:p w14:paraId="59B41A39" w14:textId="77777777" w:rsidR="00B40CBD" w:rsidRPr="00AA5E0A" w:rsidRDefault="00E45A97" w:rsidP="00E45A97">
      <w:pPr>
        <w:pStyle w:val="11"/>
        <w:rPr>
          <w:lang w:val="en-IE"/>
        </w:rPr>
      </w:pPr>
      <w:r w:rsidRPr="00AA5E0A">
        <w:rPr>
          <w:lang w:val="en-IE"/>
        </w:rPr>
        <w:t>2.</w:t>
      </w:r>
      <w:r w:rsidR="00140A00" w:rsidRPr="00AA5E0A">
        <w:rPr>
          <w:lang w:val="en-IE"/>
        </w:rPr>
        <w:t>4</w:t>
      </w:r>
      <w:r w:rsidRPr="00AA5E0A">
        <w:rPr>
          <w:lang w:val="en-IE"/>
        </w:rPr>
        <w:t>.</w:t>
      </w:r>
      <w:r w:rsidR="00B40CBD" w:rsidRPr="00AA5E0A">
        <w:rPr>
          <w:lang w:val="en-IE"/>
        </w:rPr>
        <w:tab/>
        <w:t>Requirements for authorisation</w:t>
      </w:r>
    </w:p>
    <w:p w14:paraId="59B41A3A" w14:textId="77777777" w:rsidR="00B40CBD" w:rsidRPr="00AA5E0A" w:rsidRDefault="00E45A97" w:rsidP="00E45A97">
      <w:pPr>
        <w:pStyle w:val="111"/>
        <w:rPr>
          <w:lang w:val="en-IE"/>
        </w:rPr>
      </w:pPr>
      <w:r w:rsidRPr="00AA5E0A">
        <w:rPr>
          <w:lang w:val="en-IE"/>
        </w:rPr>
        <w:t>2.</w:t>
      </w:r>
      <w:r w:rsidR="00140A00" w:rsidRPr="00AA5E0A">
        <w:rPr>
          <w:lang w:val="en-IE"/>
        </w:rPr>
        <w:t>4</w:t>
      </w:r>
      <w:r w:rsidRPr="00AA5E0A">
        <w:rPr>
          <w:lang w:val="en-IE"/>
        </w:rPr>
        <w:t>.1.</w:t>
      </w:r>
      <w:r w:rsidR="00B40CBD" w:rsidRPr="00AA5E0A">
        <w:rPr>
          <w:lang w:val="en-IE"/>
        </w:rPr>
        <w:tab/>
        <w:t>Safety requirements</w:t>
      </w:r>
    </w:p>
    <w:p w14:paraId="59B41A3B" w14:textId="77777777" w:rsidR="00B40CBD" w:rsidRPr="00AA5E0A" w:rsidRDefault="00E45A97" w:rsidP="00E45A97">
      <w:pPr>
        <w:pStyle w:val="i"/>
        <w:rPr>
          <w:lang w:val="en-IE"/>
        </w:rPr>
      </w:pPr>
      <w:r w:rsidRPr="00AA5E0A">
        <w:rPr>
          <w:lang w:val="en-IE"/>
        </w:rPr>
        <w:t>i)</w:t>
      </w:r>
      <w:r w:rsidRPr="00AA5E0A">
        <w:rPr>
          <w:lang w:val="en-IE"/>
        </w:rPr>
        <w:tab/>
      </w:r>
      <w:r w:rsidR="00B40CBD" w:rsidRPr="00AA5E0A">
        <w:rPr>
          <w:lang w:val="en-IE"/>
        </w:rPr>
        <w:t>Target and non-target animal safety</w:t>
      </w:r>
    </w:p>
    <w:p w14:paraId="59B41A3C" w14:textId="77777777" w:rsidR="00B40CBD" w:rsidRPr="00AA5E0A" w:rsidRDefault="00B40CBD" w:rsidP="00E45A97">
      <w:pPr>
        <w:pStyle w:val="afourthpara"/>
      </w:pPr>
      <w:r w:rsidRPr="00AA5E0A">
        <w:t>The vaccine has been shown to cause disease in some goats and llamas; this may be related to the saponin adjuvant. The vaccine is not recommended for use in pregnant animals, nor in animals destined for slaughter within 2–3 weeks of vaccination. Local regulations may specify other time periods in some countries or regions, but there is no scientific reason for regarding meat from clinically healthy animals as unfit for human handling or consumption after a holding period of 2 weeks following vaccination. Concurrent administration of antibiotics to vaccinated animals is contraindicated as the antibiotic will interfere with the vaccine. Antibiotics should not be given for several days before and after vaccination.</w:t>
      </w:r>
      <w:r w:rsidR="00210367" w:rsidRPr="00AA5E0A">
        <w:t xml:space="preserve"> </w:t>
      </w:r>
    </w:p>
    <w:p w14:paraId="59B41A3D" w14:textId="77777777" w:rsidR="00B40CBD" w:rsidRPr="00AA5E0A" w:rsidRDefault="00B40CBD" w:rsidP="00E45A97">
      <w:pPr>
        <w:pStyle w:val="afourthpara"/>
      </w:pPr>
      <w:r w:rsidRPr="00AA5E0A">
        <w:t>Accidental human inoculation is treated by expressing as much of the inoculum as possible from the injection site and washing the wound thoroughly with soap and water. Medical attention should be sought if infection develops.</w:t>
      </w:r>
    </w:p>
    <w:p w14:paraId="59B41A3E" w14:textId="77777777" w:rsidR="00B40CBD" w:rsidRPr="00AA5E0A" w:rsidRDefault="00E45A97" w:rsidP="00E45A97">
      <w:pPr>
        <w:pStyle w:val="i"/>
        <w:rPr>
          <w:lang w:val="en-IE"/>
        </w:rPr>
      </w:pPr>
      <w:r w:rsidRPr="00AA5E0A">
        <w:rPr>
          <w:lang w:val="en-IE"/>
        </w:rPr>
        <w:t>ii)</w:t>
      </w:r>
      <w:r w:rsidRPr="00AA5E0A">
        <w:rPr>
          <w:lang w:val="en-IE"/>
        </w:rPr>
        <w:tab/>
      </w:r>
      <w:r w:rsidR="00B40CBD" w:rsidRPr="00AA5E0A">
        <w:rPr>
          <w:lang w:val="en-IE"/>
        </w:rPr>
        <w:t>Reversion–to-virulence for attenuated/live vaccines</w:t>
      </w:r>
    </w:p>
    <w:p w14:paraId="59B41A3F" w14:textId="77777777" w:rsidR="00B40CBD" w:rsidRPr="00AA5E0A" w:rsidRDefault="00B40CBD" w:rsidP="00E45A97">
      <w:pPr>
        <w:pStyle w:val="afourthpara"/>
        <w:rPr>
          <w:lang w:val="en-IE"/>
        </w:rPr>
      </w:pPr>
      <w:r w:rsidRPr="00AA5E0A">
        <w:rPr>
          <w:lang w:val="en-IE"/>
        </w:rPr>
        <w:t xml:space="preserve">The 34F2 strain of </w:t>
      </w:r>
      <w:r w:rsidRPr="00AA5E0A">
        <w:rPr>
          <w:i/>
          <w:lang w:val="en-IE"/>
        </w:rPr>
        <w:t>B</w:t>
      </w:r>
      <w:r w:rsidR="006E4A91" w:rsidRPr="00AA5E0A">
        <w:rPr>
          <w:i/>
          <w:lang w:val="en-IE"/>
        </w:rPr>
        <w:t>. </w:t>
      </w:r>
      <w:r w:rsidRPr="00AA5E0A">
        <w:rPr>
          <w:i/>
          <w:lang w:val="en-IE"/>
        </w:rPr>
        <w:t>anthracis</w:t>
      </w:r>
      <w:r w:rsidRPr="00AA5E0A">
        <w:rPr>
          <w:lang w:val="en-IE"/>
        </w:rPr>
        <w:t xml:space="preserve"> is known to be stable and cannot produce capsule </w:t>
      </w:r>
      <w:r w:rsidRPr="00AA5E0A">
        <w:rPr>
          <w:i/>
          <w:lang w:val="en-IE"/>
        </w:rPr>
        <w:t>in vitro</w:t>
      </w:r>
      <w:r w:rsidRPr="00AA5E0A">
        <w:rPr>
          <w:lang w:val="en-IE"/>
        </w:rPr>
        <w:t xml:space="preserve">. </w:t>
      </w:r>
    </w:p>
    <w:p w14:paraId="59B41A40" w14:textId="77777777" w:rsidR="00B40CBD" w:rsidRPr="00AA5E0A" w:rsidRDefault="00E45A97" w:rsidP="00E45A97">
      <w:pPr>
        <w:pStyle w:val="i"/>
        <w:rPr>
          <w:lang w:val="en-IE"/>
        </w:rPr>
      </w:pPr>
      <w:r w:rsidRPr="00AA5E0A">
        <w:rPr>
          <w:lang w:val="en-IE"/>
        </w:rPr>
        <w:t>iii)</w:t>
      </w:r>
      <w:r w:rsidRPr="00AA5E0A">
        <w:rPr>
          <w:lang w:val="en-IE"/>
        </w:rPr>
        <w:tab/>
      </w:r>
      <w:r w:rsidR="00B40CBD" w:rsidRPr="00AA5E0A">
        <w:rPr>
          <w:lang w:val="en-IE"/>
        </w:rPr>
        <w:t>Environmental consideration</w:t>
      </w:r>
    </w:p>
    <w:p w14:paraId="59B41A41" w14:textId="77777777" w:rsidR="00B40CBD" w:rsidRPr="00AA5E0A" w:rsidRDefault="00B40CBD" w:rsidP="00E45A97">
      <w:pPr>
        <w:pStyle w:val="afourthpara"/>
        <w:rPr>
          <w:lang w:val="en-IE"/>
        </w:rPr>
      </w:pPr>
      <w:r w:rsidRPr="00AA5E0A">
        <w:rPr>
          <w:lang w:val="en-IE"/>
        </w:rPr>
        <w:t xml:space="preserve">Leftover vaccine, empty vials, and equipment used for vaccinating are contaminated with the live spores and should be autoclaved, disinfected, or incinerated. </w:t>
      </w:r>
    </w:p>
    <w:p w14:paraId="59B41A42" w14:textId="77777777" w:rsidR="00B40CBD" w:rsidRPr="00AA5E0A" w:rsidRDefault="00E45A97" w:rsidP="00E45A97">
      <w:pPr>
        <w:pStyle w:val="111"/>
        <w:rPr>
          <w:lang w:val="en-IE"/>
        </w:rPr>
      </w:pPr>
      <w:r w:rsidRPr="00AA5E0A">
        <w:rPr>
          <w:lang w:val="en-IE"/>
        </w:rPr>
        <w:t>2.</w:t>
      </w:r>
      <w:r w:rsidR="00140A00" w:rsidRPr="00AA5E0A">
        <w:rPr>
          <w:lang w:val="en-IE"/>
        </w:rPr>
        <w:t>4</w:t>
      </w:r>
      <w:r w:rsidRPr="00AA5E0A">
        <w:rPr>
          <w:lang w:val="en-IE"/>
        </w:rPr>
        <w:t>.2.</w:t>
      </w:r>
      <w:r w:rsidR="00B40CBD" w:rsidRPr="00AA5E0A">
        <w:rPr>
          <w:lang w:val="en-IE"/>
        </w:rPr>
        <w:tab/>
        <w:t>Efficacy requirements</w:t>
      </w:r>
    </w:p>
    <w:p w14:paraId="59B41A43" w14:textId="77777777" w:rsidR="00B40CBD" w:rsidRPr="00AA5E0A" w:rsidRDefault="00E45A97" w:rsidP="00E45A97">
      <w:pPr>
        <w:pStyle w:val="i"/>
        <w:rPr>
          <w:lang w:val="en-IE"/>
        </w:rPr>
      </w:pPr>
      <w:r w:rsidRPr="00AA5E0A">
        <w:rPr>
          <w:lang w:val="en-IE"/>
        </w:rPr>
        <w:t>i)</w:t>
      </w:r>
      <w:r w:rsidRPr="00AA5E0A">
        <w:rPr>
          <w:lang w:val="en-IE"/>
        </w:rPr>
        <w:tab/>
      </w:r>
      <w:r w:rsidR="00B40CBD" w:rsidRPr="00AA5E0A">
        <w:rPr>
          <w:lang w:val="en-IE"/>
        </w:rPr>
        <w:t>For animal production</w:t>
      </w:r>
    </w:p>
    <w:p w14:paraId="59B41A44" w14:textId="77777777" w:rsidR="00B40CBD" w:rsidRPr="00AA5E0A" w:rsidRDefault="00B40CBD" w:rsidP="00E45A97">
      <w:pPr>
        <w:pStyle w:val="afourthpara"/>
      </w:pPr>
      <w:r w:rsidRPr="00AA5E0A">
        <w:t>Not applicable.</w:t>
      </w:r>
    </w:p>
    <w:p w14:paraId="59B41A45" w14:textId="77777777" w:rsidR="00B40CBD" w:rsidRPr="00AA5E0A" w:rsidRDefault="00E45A97" w:rsidP="00E45A97">
      <w:pPr>
        <w:pStyle w:val="i"/>
        <w:rPr>
          <w:lang w:val="en-IE"/>
        </w:rPr>
      </w:pPr>
      <w:r w:rsidRPr="00AA5E0A">
        <w:rPr>
          <w:lang w:val="en-IE"/>
        </w:rPr>
        <w:lastRenderedPageBreak/>
        <w:t>ii)</w:t>
      </w:r>
      <w:r w:rsidRPr="00AA5E0A">
        <w:rPr>
          <w:lang w:val="en-IE"/>
        </w:rPr>
        <w:tab/>
      </w:r>
      <w:r w:rsidR="00B40CBD" w:rsidRPr="00AA5E0A">
        <w:rPr>
          <w:lang w:val="en-IE"/>
        </w:rPr>
        <w:t>For control and eradication</w:t>
      </w:r>
    </w:p>
    <w:p w14:paraId="59B41A46" w14:textId="4A392793" w:rsidR="00B40CBD" w:rsidRPr="00AA5E0A" w:rsidRDefault="00B40CBD" w:rsidP="00E45A97">
      <w:pPr>
        <w:pStyle w:val="afourthpara"/>
        <w:rPr>
          <w:lang w:val="en-IE"/>
        </w:rPr>
      </w:pPr>
      <w:r w:rsidRPr="00AA5E0A">
        <w:rPr>
          <w:lang w:val="en-IE"/>
        </w:rPr>
        <w:t>The recommended dose for cattle and horses is a minimum of 2–10 × 10</w:t>
      </w:r>
      <w:r w:rsidR="00D63ACB" w:rsidRPr="00AA5E0A">
        <w:rPr>
          <w:vertAlign w:val="superscript"/>
          <w:lang w:val="en-IE"/>
        </w:rPr>
        <w:t>6</w:t>
      </w:r>
      <w:r w:rsidRPr="00AA5E0A">
        <w:rPr>
          <w:lang w:val="en-IE"/>
        </w:rPr>
        <w:t xml:space="preserve"> culturable spores; for sheep, goats and pigs, it is 1–5 × 10</w:t>
      </w:r>
      <w:r w:rsidR="00D63ACB" w:rsidRPr="00AA5E0A">
        <w:rPr>
          <w:vertAlign w:val="superscript"/>
          <w:lang w:val="en-IE"/>
        </w:rPr>
        <w:t>6</w:t>
      </w:r>
      <w:r w:rsidRPr="00AA5E0A">
        <w:rPr>
          <w:lang w:val="en-IE"/>
        </w:rPr>
        <w:t xml:space="preserve"> culturable spores. The vaccine should contain these spores in an appropriate volume, e.g. 2 × 10</w:t>
      </w:r>
      <w:r w:rsidR="00D63ACB" w:rsidRPr="00AA5E0A">
        <w:rPr>
          <w:vertAlign w:val="superscript"/>
          <w:lang w:val="en-IE"/>
        </w:rPr>
        <w:t>6</w:t>
      </w:r>
      <w:r w:rsidRPr="00AA5E0A">
        <w:rPr>
          <w:lang w:val="en-IE"/>
        </w:rPr>
        <w:t>/ml.</w:t>
      </w:r>
      <w:r w:rsidR="00210367" w:rsidRPr="00AA5E0A">
        <w:rPr>
          <w:lang w:val="en-IE"/>
        </w:rPr>
        <w:t xml:space="preserve"> </w:t>
      </w:r>
      <w:r w:rsidRPr="00AA5E0A">
        <w:rPr>
          <w:lang w:val="en-IE"/>
        </w:rPr>
        <w:t>Immunity should be good for at least 1 year and it is recommended that an annual booster be given. Horses may be slow to develop immunity following initial vaccination; some manufacturers therefore recommend a two-dose initial vaccination, administered 1 month apart, followed by a single annual booster.</w:t>
      </w:r>
    </w:p>
    <w:p w14:paraId="59B41A47" w14:textId="77777777" w:rsidR="00B40CBD" w:rsidRPr="00AA5E0A" w:rsidRDefault="00B40CBD" w:rsidP="00E45A97">
      <w:pPr>
        <w:pStyle w:val="afourthpara"/>
        <w:rPr>
          <w:lang w:val="en-IE"/>
        </w:rPr>
      </w:pPr>
      <w:r w:rsidRPr="00AA5E0A">
        <w:rPr>
          <w:i/>
          <w:iCs/>
          <w:lang w:val="en-IE"/>
        </w:rPr>
        <w:t>Bacillus anthracis</w:t>
      </w:r>
      <w:r w:rsidRPr="00AA5E0A">
        <w:rPr>
          <w:iCs/>
          <w:lang w:val="en-IE"/>
        </w:rPr>
        <w:t xml:space="preserve"> </w:t>
      </w:r>
      <w:r w:rsidRPr="00AA5E0A">
        <w:rPr>
          <w:lang w:val="en-IE"/>
        </w:rPr>
        <w:t xml:space="preserve">spores are stable in </w:t>
      </w:r>
      <w:proofErr w:type="spellStart"/>
      <w:r w:rsidRPr="00AA5E0A">
        <w:rPr>
          <w:lang w:val="en-IE"/>
        </w:rPr>
        <w:t>unlyophilised</w:t>
      </w:r>
      <w:proofErr w:type="spellEnd"/>
      <w:r w:rsidRPr="00AA5E0A">
        <w:rPr>
          <w:lang w:val="en-IE"/>
        </w:rPr>
        <w:t xml:space="preserve"> or lyophilised vaccine and preservatives are not required.</w:t>
      </w:r>
      <w:r w:rsidR="00210367" w:rsidRPr="00AA5E0A">
        <w:rPr>
          <w:lang w:val="en-IE"/>
        </w:rPr>
        <w:t xml:space="preserve"> </w:t>
      </w:r>
      <w:r w:rsidRPr="00AA5E0A">
        <w:rPr>
          <w:lang w:val="en-IE"/>
        </w:rPr>
        <w:t>Storage under refrigeration is recommended (4°C).</w:t>
      </w:r>
    </w:p>
    <w:p w14:paraId="59B41A48" w14:textId="77777777" w:rsidR="00B40CBD" w:rsidRPr="00AA5E0A" w:rsidRDefault="00B40CBD" w:rsidP="00C93E44">
      <w:pPr>
        <w:pStyle w:val="iparalast"/>
        <w:ind w:firstLine="1"/>
        <w:rPr>
          <w:lang w:val="en-IE"/>
        </w:rPr>
      </w:pPr>
      <w:r w:rsidRPr="00AA5E0A">
        <w:rPr>
          <w:lang w:val="en-IE"/>
        </w:rPr>
        <w:t>As there is no generally acceptable test for stability of anthrax vaccines, it is recommended that, in each filling lot, the number of culturable spores be determined before and after holding at an appropriate temperature for an appropriate period. There should be no evidence of a fall in the number of culturable spores.</w:t>
      </w:r>
    </w:p>
    <w:p w14:paraId="59B41A49" w14:textId="77777777" w:rsidR="00B40CBD" w:rsidRPr="00AA5E0A" w:rsidRDefault="00B40CBD" w:rsidP="00635B66">
      <w:pPr>
        <w:pStyle w:val="1"/>
        <w:rPr>
          <w:lang w:val="en-IE"/>
        </w:rPr>
      </w:pPr>
      <w:r w:rsidRPr="00AA5E0A">
        <w:rPr>
          <w:lang w:val="en-IE"/>
        </w:rPr>
        <w:t>3.</w:t>
      </w:r>
      <w:r w:rsidRPr="00AA5E0A">
        <w:rPr>
          <w:lang w:val="en-IE"/>
        </w:rPr>
        <w:tab/>
        <w:t>Vaccines based on biotechnology</w:t>
      </w:r>
    </w:p>
    <w:p w14:paraId="59B41A4A" w14:textId="77777777" w:rsidR="00B40CBD" w:rsidRPr="00AA5E0A" w:rsidRDefault="00E45A97" w:rsidP="00E45A97">
      <w:pPr>
        <w:pStyle w:val="11"/>
        <w:rPr>
          <w:lang w:val="en-IE"/>
        </w:rPr>
      </w:pPr>
      <w:r w:rsidRPr="00AA5E0A">
        <w:rPr>
          <w:lang w:val="en-IE"/>
        </w:rPr>
        <w:t>3.1.</w:t>
      </w:r>
      <w:r w:rsidR="00B40CBD" w:rsidRPr="00AA5E0A">
        <w:rPr>
          <w:lang w:val="en-IE"/>
        </w:rPr>
        <w:tab/>
        <w:t>Vaccines available and their advantage</w:t>
      </w:r>
    </w:p>
    <w:p w14:paraId="59B41A4B" w14:textId="77777777" w:rsidR="00B40CBD" w:rsidRPr="00AA5E0A" w:rsidRDefault="00B40CBD" w:rsidP="00E45A97">
      <w:pPr>
        <w:pStyle w:val="11Para"/>
      </w:pPr>
      <w:r w:rsidRPr="00AA5E0A">
        <w:t>There are no vaccines based on biotechnology available for anthrax.</w:t>
      </w:r>
    </w:p>
    <w:p w14:paraId="59B41A4C" w14:textId="77777777" w:rsidR="00B40CBD" w:rsidRPr="00AA5E0A" w:rsidRDefault="00E45A97" w:rsidP="00D63ACB">
      <w:pPr>
        <w:pStyle w:val="11"/>
        <w:keepNext/>
        <w:rPr>
          <w:lang w:val="en-IE"/>
        </w:rPr>
      </w:pPr>
      <w:r w:rsidRPr="00AA5E0A">
        <w:rPr>
          <w:lang w:val="en-IE"/>
        </w:rPr>
        <w:t>3.2.</w:t>
      </w:r>
      <w:r w:rsidR="00B40CBD" w:rsidRPr="00AA5E0A">
        <w:rPr>
          <w:lang w:val="en-IE"/>
        </w:rPr>
        <w:tab/>
        <w:t>Special requirements for biotechnological vaccines, if any</w:t>
      </w:r>
    </w:p>
    <w:p w14:paraId="59B41A4D" w14:textId="77777777" w:rsidR="00B40CBD" w:rsidRPr="00AA5E0A" w:rsidRDefault="00B40CBD" w:rsidP="005408CD">
      <w:pPr>
        <w:pStyle w:val="11Para"/>
        <w:spacing w:after="480"/>
      </w:pPr>
      <w:r w:rsidRPr="00AA5E0A">
        <w:t>Not applicable.</w:t>
      </w:r>
    </w:p>
    <w:p w14:paraId="59B41A4E" w14:textId="77777777" w:rsidR="00B40CBD" w:rsidRPr="00AA5E0A" w:rsidRDefault="00B40CBD" w:rsidP="00E34984">
      <w:pPr>
        <w:pStyle w:val="Referencetitle"/>
        <w:rPr>
          <w:lang w:val="en-CA"/>
        </w:rPr>
      </w:pPr>
      <w:r w:rsidRPr="1DE93EB5">
        <w:rPr>
          <w:lang w:val="en-CA"/>
        </w:rPr>
        <w:t>REFERENCES</w:t>
      </w:r>
    </w:p>
    <w:p w14:paraId="422C1744" w14:textId="77777777" w:rsidR="00983005" w:rsidRDefault="00983005" w:rsidP="00983005">
      <w:pPr>
        <w:pStyle w:val="Ref"/>
        <w:rPr>
          <w:rFonts w:ascii="Arial" w:eastAsia="MS Mincho" w:hAnsi="Arial"/>
          <w:smallCaps/>
          <w:highlight w:val="yellow"/>
          <w:u w:val="double"/>
          <w:lang w:val="en-IE"/>
        </w:rPr>
      </w:pPr>
      <w:r w:rsidRPr="00AB46F7">
        <w:rPr>
          <w:rFonts w:ascii="Arial" w:eastAsia="MS Mincho" w:hAnsi="Arial"/>
          <w:smallCaps/>
          <w:highlight w:val="yellow"/>
          <w:u w:val="double"/>
          <w:lang w:val="en-IE"/>
        </w:rPr>
        <w:t>Abdel-</w:t>
      </w:r>
      <w:proofErr w:type="spellStart"/>
      <w:r w:rsidRPr="00AB46F7">
        <w:rPr>
          <w:rFonts w:ascii="Arial" w:eastAsia="MS Mincho" w:hAnsi="Arial"/>
          <w:smallCaps/>
          <w:highlight w:val="yellow"/>
          <w:u w:val="double"/>
          <w:lang w:val="en-IE"/>
        </w:rPr>
        <w:t>Glil</w:t>
      </w:r>
      <w:proofErr w:type="spellEnd"/>
      <w:r w:rsidRPr="00AB46F7">
        <w:rPr>
          <w:rFonts w:ascii="Arial" w:eastAsia="MS Mincho" w:hAnsi="Arial"/>
          <w:smallCaps/>
          <w:highlight w:val="yellow"/>
          <w:u w:val="double"/>
          <w:lang w:val="en-IE"/>
        </w:rPr>
        <w:t xml:space="preserve"> M.Y., Chiaverini A., </w:t>
      </w:r>
      <w:proofErr w:type="spellStart"/>
      <w:r w:rsidRPr="00AB46F7">
        <w:rPr>
          <w:rFonts w:ascii="Arial" w:eastAsia="MS Mincho" w:hAnsi="Arial"/>
          <w:smallCaps/>
          <w:highlight w:val="yellow"/>
          <w:u w:val="double"/>
          <w:lang w:val="en-IE"/>
        </w:rPr>
        <w:t>Garofolo</w:t>
      </w:r>
      <w:proofErr w:type="spellEnd"/>
      <w:r w:rsidRPr="00AB46F7">
        <w:rPr>
          <w:rFonts w:ascii="Arial" w:eastAsia="MS Mincho" w:hAnsi="Arial"/>
          <w:smallCaps/>
          <w:highlight w:val="yellow"/>
          <w:u w:val="double"/>
          <w:lang w:val="en-IE"/>
        </w:rPr>
        <w:t xml:space="preserve"> G., </w:t>
      </w:r>
      <w:proofErr w:type="spellStart"/>
      <w:r w:rsidRPr="00AB46F7">
        <w:rPr>
          <w:rFonts w:ascii="Arial" w:eastAsia="MS Mincho" w:hAnsi="Arial"/>
          <w:smallCaps/>
          <w:highlight w:val="yellow"/>
          <w:u w:val="double"/>
          <w:lang w:val="en-IE"/>
        </w:rPr>
        <w:t>Fasanella</w:t>
      </w:r>
      <w:proofErr w:type="spellEnd"/>
      <w:r w:rsidRPr="00AB46F7">
        <w:rPr>
          <w:rFonts w:ascii="Arial" w:eastAsia="MS Mincho" w:hAnsi="Arial"/>
          <w:smallCaps/>
          <w:highlight w:val="yellow"/>
          <w:u w:val="double"/>
          <w:lang w:val="en-IE"/>
        </w:rPr>
        <w:t xml:space="preserve"> A., </w:t>
      </w:r>
      <w:proofErr w:type="spellStart"/>
      <w:r w:rsidRPr="00AB46F7">
        <w:rPr>
          <w:rFonts w:ascii="Arial" w:eastAsia="MS Mincho" w:hAnsi="Arial"/>
          <w:smallCaps/>
          <w:highlight w:val="yellow"/>
          <w:u w:val="double"/>
          <w:lang w:val="en-IE"/>
        </w:rPr>
        <w:t>Parisi</w:t>
      </w:r>
      <w:proofErr w:type="spellEnd"/>
      <w:r w:rsidRPr="00AB46F7">
        <w:rPr>
          <w:rFonts w:ascii="Arial" w:eastAsia="MS Mincho" w:hAnsi="Arial"/>
          <w:smallCaps/>
          <w:highlight w:val="yellow"/>
          <w:u w:val="double"/>
          <w:lang w:val="en-IE"/>
        </w:rPr>
        <w:t xml:space="preserve"> A., </w:t>
      </w:r>
      <w:proofErr w:type="spellStart"/>
      <w:r w:rsidRPr="00AB46F7">
        <w:rPr>
          <w:rFonts w:ascii="Arial" w:eastAsia="MS Mincho" w:hAnsi="Arial"/>
          <w:smallCaps/>
          <w:highlight w:val="yellow"/>
          <w:u w:val="double"/>
          <w:lang w:val="en-IE"/>
        </w:rPr>
        <w:t>Harmsen</w:t>
      </w:r>
      <w:proofErr w:type="spellEnd"/>
      <w:r w:rsidRPr="00AB46F7">
        <w:rPr>
          <w:rFonts w:ascii="Arial" w:eastAsia="MS Mincho" w:hAnsi="Arial"/>
          <w:smallCaps/>
          <w:highlight w:val="yellow"/>
          <w:u w:val="double"/>
          <w:lang w:val="en-IE"/>
        </w:rPr>
        <w:t xml:space="preserve"> D., Jolley K.A., </w:t>
      </w:r>
      <w:proofErr w:type="spellStart"/>
      <w:r w:rsidRPr="00AB46F7">
        <w:rPr>
          <w:rFonts w:ascii="Arial" w:eastAsia="MS Mincho" w:hAnsi="Arial"/>
          <w:smallCaps/>
          <w:highlight w:val="yellow"/>
          <w:u w:val="double"/>
          <w:lang w:val="en-IE"/>
        </w:rPr>
        <w:t>Elschner</w:t>
      </w:r>
      <w:proofErr w:type="spellEnd"/>
      <w:r w:rsidRPr="00AB46F7">
        <w:rPr>
          <w:rFonts w:ascii="Arial" w:eastAsia="MS Mincho" w:hAnsi="Arial"/>
          <w:smallCaps/>
          <w:highlight w:val="yellow"/>
          <w:u w:val="double"/>
          <w:lang w:val="en-IE"/>
        </w:rPr>
        <w:t xml:space="preserve"> M.C., Tomaso H., Linde J. &amp; Galante D.</w:t>
      </w:r>
      <w:r w:rsidRPr="00AB46F7">
        <w:rPr>
          <w:rFonts w:ascii="Arial" w:eastAsia="MS Mincho" w:hAnsi="Arial"/>
          <w:highlight w:val="yellow"/>
          <w:u w:val="double"/>
          <w:lang w:val="en-IE"/>
        </w:rPr>
        <w:t xml:space="preserve"> (2021). A Whole-Genome-Based Gene-by-Gene Typing System for Standardized High-Resolution Strain Typing of Bacillus anthracis. </w:t>
      </w:r>
      <w:r w:rsidRPr="00AB46F7">
        <w:rPr>
          <w:rFonts w:ascii="Arial" w:eastAsia="MS Mincho" w:hAnsi="Arial"/>
          <w:i/>
          <w:highlight w:val="yellow"/>
          <w:u w:val="double"/>
          <w:lang w:val="en-IE"/>
        </w:rPr>
        <w:t>J</w:t>
      </w:r>
      <w:r>
        <w:rPr>
          <w:rFonts w:ascii="Arial" w:eastAsia="MS Mincho" w:hAnsi="Arial"/>
          <w:i/>
          <w:highlight w:val="yellow"/>
          <w:u w:val="double"/>
          <w:lang w:val="en-IE"/>
        </w:rPr>
        <w:t>.</w:t>
      </w:r>
      <w:r w:rsidRPr="00AB46F7">
        <w:rPr>
          <w:rFonts w:ascii="Arial" w:eastAsia="MS Mincho" w:hAnsi="Arial"/>
          <w:i/>
          <w:highlight w:val="yellow"/>
          <w:u w:val="double"/>
          <w:lang w:val="en-IE"/>
        </w:rPr>
        <w:t xml:space="preserve"> Clin</w:t>
      </w:r>
      <w:r>
        <w:rPr>
          <w:rFonts w:ascii="Arial" w:eastAsia="MS Mincho" w:hAnsi="Arial"/>
          <w:i/>
          <w:highlight w:val="yellow"/>
          <w:u w:val="double"/>
          <w:lang w:val="en-IE"/>
        </w:rPr>
        <w:t>.</w:t>
      </w:r>
      <w:r w:rsidRPr="00AB46F7">
        <w:rPr>
          <w:rFonts w:ascii="Arial" w:eastAsia="MS Mincho" w:hAnsi="Arial"/>
          <w:i/>
          <w:highlight w:val="yellow"/>
          <w:u w:val="double"/>
          <w:lang w:val="en-IE"/>
        </w:rPr>
        <w:t xml:space="preserve"> </w:t>
      </w:r>
      <w:proofErr w:type="spellStart"/>
      <w:r w:rsidRPr="00AB46F7">
        <w:rPr>
          <w:rFonts w:ascii="Arial" w:eastAsia="MS Mincho" w:hAnsi="Arial"/>
          <w:i/>
          <w:highlight w:val="yellow"/>
          <w:u w:val="double"/>
          <w:lang w:val="en-IE"/>
        </w:rPr>
        <w:t>Microbiol</w:t>
      </w:r>
      <w:proofErr w:type="spellEnd"/>
      <w:r>
        <w:rPr>
          <w:rFonts w:ascii="Arial" w:eastAsia="MS Mincho" w:hAnsi="Arial"/>
          <w:i/>
          <w:highlight w:val="yellow"/>
          <w:u w:val="double"/>
          <w:lang w:val="en-IE"/>
        </w:rPr>
        <w:t>.</w:t>
      </w:r>
      <w:r w:rsidRPr="00AB46F7">
        <w:rPr>
          <w:rFonts w:ascii="Arial" w:eastAsia="MS Mincho" w:hAnsi="Arial"/>
          <w:highlight w:val="yellow"/>
          <w:u w:val="double"/>
          <w:lang w:val="en-IE"/>
        </w:rPr>
        <w:t xml:space="preserve">, </w:t>
      </w:r>
      <w:r w:rsidRPr="00AB46F7">
        <w:rPr>
          <w:rFonts w:ascii="Arial" w:eastAsia="MS Mincho" w:hAnsi="Arial"/>
          <w:b/>
          <w:highlight w:val="yellow"/>
          <w:u w:val="double"/>
          <w:lang w:val="en-IE"/>
        </w:rPr>
        <w:t>59</w:t>
      </w:r>
      <w:r w:rsidRPr="00AB46F7">
        <w:rPr>
          <w:rFonts w:ascii="Arial" w:eastAsia="MS Mincho" w:hAnsi="Arial"/>
          <w:highlight w:val="yellow"/>
          <w:u w:val="double"/>
          <w:lang w:val="en-IE"/>
        </w:rPr>
        <w:t xml:space="preserve">(7):e0288920. </w:t>
      </w:r>
      <w:proofErr w:type="spellStart"/>
      <w:r w:rsidRPr="00AB46F7">
        <w:rPr>
          <w:rFonts w:ascii="Arial" w:eastAsia="MS Mincho" w:hAnsi="Arial"/>
          <w:highlight w:val="yellow"/>
          <w:u w:val="double"/>
          <w:lang w:val="en-IE"/>
        </w:rPr>
        <w:t>doi</w:t>
      </w:r>
      <w:proofErr w:type="spellEnd"/>
      <w:r w:rsidRPr="00AB46F7">
        <w:rPr>
          <w:rFonts w:ascii="Arial" w:eastAsia="MS Mincho" w:hAnsi="Arial"/>
          <w:highlight w:val="yellow"/>
          <w:u w:val="double"/>
          <w:lang w:val="en-IE"/>
        </w:rPr>
        <w:t>: 10.1128/JCM.02889-20</w:t>
      </w:r>
    </w:p>
    <w:p w14:paraId="59B41A4F" w14:textId="77777777" w:rsidR="00B40CBD" w:rsidRPr="00AA5E0A" w:rsidRDefault="00B40CBD" w:rsidP="00D63ACB">
      <w:pPr>
        <w:pStyle w:val="Ref"/>
        <w:spacing w:after="200"/>
        <w:rPr>
          <w:lang w:val="en-IE"/>
        </w:rPr>
      </w:pPr>
      <w:r w:rsidRPr="00AA5E0A">
        <w:rPr>
          <w:smallCaps/>
          <w:lang w:val="en-CA"/>
        </w:rPr>
        <w:t xml:space="preserve">Abshire T.G., Brown J.E. &amp; </w:t>
      </w:r>
      <w:proofErr w:type="spellStart"/>
      <w:r w:rsidRPr="00AA5E0A">
        <w:rPr>
          <w:smallCaps/>
          <w:lang w:val="en-CA"/>
        </w:rPr>
        <w:t>Ezzell</w:t>
      </w:r>
      <w:proofErr w:type="spellEnd"/>
      <w:r w:rsidRPr="00AA5E0A">
        <w:rPr>
          <w:smallCaps/>
          <w:lang w:val="en-CA"/>
        </w:rPr>
        <w:t xml:space="preserve"> J.W. </w:t>
      </w:r>
      <w:r w:rsidRPr="00AA5E0A">
        <w:rPr>
          <w:lang w:val="en-CA"/>
        </w:rPr>
        <w:t xml:space="preserve">(2005). </w:t>
      </w:r>
      <w:r w:rsidRPr="00AA5E0A">
        <w:rPr>
          <w:lang w:val="en-IE"/>
        </w:rPr>
        <w:t xml:space="preserve">Production and validation of the use of gamma phage for identification of </w:t>
      </w:r>
      <w:r w:rsidRPr="00AA5E0A">
        <w:rPr>
          <w:i/>
          <w:iCs/>
          <w:lang w:val="en-IE"/>
        </w:rPr>
        <w:t>Bacillus anthracis</w:t>
      </w:r>
      <w:r w:rsidRPr="00AA5E0A">
        <w:rPr>
          <w:lang w:val="en-IE"/>
        </w:rPr>
        <w:t xml:space="preserve">. </w:t>
      </w:r>
      <w:r w:rsidRPr="00AA5E0A">
        <w:rPr>
          <w:i/>
          <w:iCs/>
          <w:lang w:val="en-IE"/>
        </w:rPr>
        <w:t xml:space="preserve">J. Clin. </w:t>
      </w:r>
      <w:proofErr w:type="spellStart"/>
      <w:r w:rsidRPr="00AA5E0A">
        <w:rPr>
          <w:i/>
          <w:iCs/>
          <w:lang w:val="en-IE"/>
        </w:rPr>
        <w:t>Microbiol</w:t>
      </w:r>
      <w:proofErr w:type="spellEnd"/>
      <w:r w:rsidRPr="00AA5E0A">
        <w:rPr>
          <w:i/>
          <w:iCs/>
          <w:lang w:val="en-IE"/>
        </w:rPr>
        <w:t xml:space="preserve">., </w:t>
      </w:r>
      <w:r w:rsidRPr="00AA5E0A">
        <w:rPr>
          <w:b/>
          <w:bCs/>
          <w:lang w:val="en-IE"/>
        </w:rPr>
        <w:t>43</w:t>
      </w:r>
      <w:r w:rsidRPr="00AA5E0A">
        <w:rPr>
          <w:lang w:val="en-IE"/>
        </w:rPr>
        <w:t>, 4780–4788.</w:t>
      </w:r>
    </w:p>
    <w:p w14:paraId="04BB7525" w14:textId="6BFED0A9" w:rsidR="0003600B" w:rsidRPr="00BE7ACA" w:rsidRDefault="0003600B" w:rsidP="004C1FFA">
      <w:pPr>
        <w:pStyle w:val="Ref"/>
        <w:rPr>
          <w:u w:val="double"/>
          <w:lang w:val="en-IE"/>
        </w:rPr>
      </w:pPr>
      <w:proofErr w:type="spellStart"/>
      <w:r w:rsidRPr="00BE7ACA">
        <w:rPr>
          <w:smallCaps/>
          <w:highlight w:val="yellow"/>
          <w:u w:val="double"/>
          <w:lang w:val="en-IE"/>
        </w:rPr>
        <w:t>Ågren</w:t>
      </w:r>
      <w:proofErr w:type="spellEnd"/>
      <w:r w:rsidRPr="00BE7ACA">
        <w:rPr>
          <w:smallCaps/>
          <w:highlight w:val="yellow"/>
          <w:u w:val="double"/>
          <w:lang w:val="en-IE"/>
        </w:rPr>
        <w:t xml:space="preserve"> J., </w:t>
      </w:r>
      <w:proofErr w:type="spellStart"/>
      <w:r w:rsidRPr="00BE7ACA">
        <w:rPr>
          <w:smallCaps/>
          <w:highlight w:val="yellow"/>
          <w:u w:val="double"/>
          <w:lang w:val="en-IE"/>
        </w:rPr>
        <w:t>Hamidjaja</w:t>
      </w:r>
      <w:proofErr w:type="spellEnd"/>
      <w:r w:rsidRPr="00BE7ACA">
        <w:rPr>
          <w:smallCaps/>
          <w:highlight w:val="yellow"/>
          <w:u w:val="double"/>
          <w:lang w:val="en-IE"/>
        </w:rPr>
        <w:t xml:space="preserve"> R.A., Hansen T., </w:t>
      </w:r>
      <w:proofErr w:type="spellStart"/>
      <w:r w:rsidRPr="00BE7ACA">
        <w:rPr>
          <w:smallCaps/>
          <w:highlight w:val="yellow"/>
          <w:u w:val="double"/>
          <w:lang w:val="en-IE"/>
        </w:rPr>
        <w:t>Ruuls</w:t>
      </w:r>
      <w:proofErr w:type="spellEnd"/>
      <w:r w:rsidRPr="00BE7ACA">
        <w:rPr>
          <w:smallCaps/>
          <w:highlight w:val="yellow"/>
          <w:u w:val="double"/>
          <w:lang w:val="en-IE"/>
        </w:rPr>
        <w:t xml:space="preserve"> R., Thierry S., </w:t>
      </w:r>
      <w:proofErr w:type="spellStart"/>
      <w:r w:rsidRPr="00BE7ACA">
        <w:rPr>
          <w:smallCaps/>
          <w:highlight w:val="yellow"/>
          <w:u w:val="double"/>
          <w:lang w:val="en-IE"/>
        </w:rPr>
        <w:t>Vigre</w:t>
      </w:r>
      <w:proofErr w:type="spellEnd"/>
      <w:r w:rsidRPr="00BE7ACA">
        <w:rPr>
          <w:smallCaps/>
          <w:highlight w:val="yellow"/>
          <w:u w:val="double"/>
          <w:lang w:val="en-IE"/>
        </w:rPr>
        <w:t xml:space="preserve"> H.</w:t>
      </w:r>
      <w:r w:rsidR="00BE7ACA" w:rsidRPr="00BE7ACA">
        <w:rPr>
          <w:smallCaps/>
          <w:highlight w:val="yellow"/>
          <w:u w:val="double"/>
          <w:lang w:val="en-IE"/>
        </w:rPr>
        <w:t xml:space="preserve"> </w:t>
      </w:r>
      <w:r w:rsidRPr="00BE7ACA">
        <w:rPr>
          <w:smallCaps/>
          <w:highlight w:val="yellow"/>
          <w:u w:val="double"/>
          <w:lang w:val="en-IE"/>
        </w:rPr>
        <w:t xml:space="preserve">&amp; </w:t>
      </w:r>
      <w:proofErr w:type="spellStart"/>
      <w:r w:rsidRPr="00BE7ACA">
        <w:rPr>
          <w:smallCaps/>
          <w:highlight w:val="yellow"/>
          <w:u w:val="double"/>
          <w:lang w:val="en-IE"/>
        </w:rPr>
        <w:t>Derzelle</w:t>
      </w:r>
      <w:proofErr w:type="spellEnd"/>
      <w:r w:rsidRPr="00BE7ACA">
        <w:rPr>
          <w:smallCaps/>
          <w:highlight w:val="yellow"/>
          <w:u w:val="double"/>
          <w:lang w:val="en-IE"/>
        </w:rPr>
        <w:t xml:space="preserve"> S.</w:t>
      </w:r>
      <w:r w:rsidRPr="00BE7ACA">
        <w:rPr>
          <w:highlight w:val="yellow"/>
          <w:u w:val="double"/>
          <w:lang w:val="en-IE"/>
        </w:rPr>
        <w:t xml:space="preserve"> (2013). </w:t>
      </w:r>
      <w:r w:rsidRPr="00BE7ACA">
        <w:rPr>
          <w:i/>
          <w:iCs/>
          <w:highlight w:val="yellow"/>
          <w:u w:val="double"/>
          <w:lang w:val="en-IE"/>
        </w:rPr>
        <w:t>In silico</w:t>
      </w:r>
      <w:r w:rsidRPr="00BE7ACA">
        <w:rPr>
          <w:highlight w:val="yellow"/>
          <w:u w:val="double"/>
          <w:lang w:val="en-IE"/>
        </w:rPr>
        <w:t xml:space="preserve"> and </w:t>
      </w:r>
      <w:r w:rsidRPr="00BE7ACA">
        <w:rPr>
          <w:i/>
          <w:iCs/>
          <w:highlight w:val="yellow"/>
          <w:u w:val="double"/>
          <w:lang w:val="en-IE"/>
        </w:rPr>
        <w:t>in vitro</w:t>
      </w:r>
      <w:r w:rsidRPr="00BE7ACA">
        <w:rPr>
          <w:highlight w:val="yellow"/>
          <w:u w:val="double"/>
          <w:lang w:val="en-IE"/>
        </w:rPr>
        <w:t xml:space="preserve"> evaluation of PCR-based assays for the detection of </w:t>
      </w:r>
      <w:r w:rsidRPr="00BE7ACA">
        <w:rPr>
          <w:i/>
          <w:iCs/>
          <w:highlight w:val="yellow"/>
          <w:u w:val="double"/>
          <w:lang w:val="en-IE"/>
        </w:rPr>
        <w:t>Bacillus anthracis</w:t>
      </w:r>
      <w:r w:rsidRPr="00BE7ACA">
        <w:rPr>
          <w:highlight w:val="yellow"/>
          <w:u w:val="double"/>
          <w:lang w:val="en-IE"/>
        </w:rPr>
        <w:t xml:space="preserve"> chromosomal signature sequences. </w:t>
      </w:r>
      <w:r w:rsidRPr="00BE7ACA">
        <w:rPr>
          <w:bCs/>
          <w:i/>
          <w:highlight w:val="yellow"/>
          <w:u w:val="double"/>
          <w:lang w:val="en-IE"/>
        </w:rPr>
        <w:t>Virulence</w:t>
      </w:r>
      <w:r w:rsidRPr="00BE7ACA">
        <w:rPr>
          <w:highlight w:val="yellow"/>
          <w:u w:val="double"/>
          <w:lang w:val="en-IE"/>
        </w:rPr>
        <w:t xml:space="preserve">, </w:t>
      </w:r>
      <w:r w:rsidRPr="00BE7ACA">
        <w:rPr>
          <w:b/>
          <w:bCs/>
          <w:iCs/>
          <w:highlight w:val="yellow"/>
          <w:u w:val="double"/>
          <w:lang w:val="en-IE"/>
        </w:rPr>
        <w:t>4</w:t>
      </w:r>
      <w:r w:rsidRPr="00BE7ACA">
        <w:rPr>
          <w:iCs/>
          <w:highlight w:val="yellow"/>
          <w:u w:val="double"/>
          <w:lang w:val="en-IE"/>
        </w:rPr>
        <w:t>,</w:t>
      </w:r>
      <w:r w:rsidRPr="00BE7ACA">
        <w:rPr>
          <w:highlight w:val="yellow"/>
          <w:u w:val="double"/>
          <w:lang w:val="en-IE"/>
        </w:rPr>
        <w:t xml:space="preserve"> 671</w:t>
      </w:r>
      <w:r w:rsidR="00BE7ACA" w:rsidRPr="00BE7ACA">
        <w:rPr>
          <w:highlight w:val="yellow"/>
          <w:u w:val="double"/>
          <w:lang w:val="en-IE"/>
        </w:rPr>
        <w:t>–</w:t>
      </w:r>
      <w:r w:rsidRPr="00BE7ACA">
        <w:rPr>
          <w:highlight w:val="yellow"/>
          <w:u w:val="double"/>
          <w:lang w:val="en-IE"/>
        </w:rPr>
        <w:t>685.</w:t>
      </w:r>
    </w:p>
    <w:p w14:paraId="100D16AC" w14:textId="03F2628D" w:rsidR="00612180" w:rsidRPr="00AA5E0A" w:rsidRDefault="00612180" w:rsidP="004C1FFA">
      <w:pPr>
        <w:pStyle w:val="Ref"/>
        <w:rPr>
          <w:u w:val="double"/>
          <w:lang w:val="fr-FR"/>
        </w:rPr>
      </w:pPr>
      <w:r w:rsidRPr="00AA5E0A">
        <w:rPr>
          <w:rStyle w:val="authors-list-item"/>
          <w:smallCaps/>
          <w:u w:val="double"/>
          <w:lang w:val="en-IE"/>
        </w:rPr>
        <w:t>Aminu</w:t>
      </w:r>
      <w:r w:rsidR="004C1FFA" w:rsidRPr="00AA5E0A">
        <w:rPr>
          <w:rStyle w:val="authors-list-item"/>
          <w:smallCaps/>
          <w:u w:val="double"/>
          <w:lang w:val="en-IE"/>
        </w:rPr>
        <w:t xml:space="preserve"> O.R</w:t>
      </w:r>
      <w:r w:rsidRPr="00AA5E0A">
        <w:rPr>
          <w:rStyle w:val="comma"/>
          <w:smallCaps/>
          <w:u w:val="double"/>
          <w:lang w:val="en-IE"/>
        </w:rPr>
        <w:t xml:space="preserve">, </w:t>
      </w:r>
      <w:proofErr w:type="spellStart"/>
      <w:r w:rsidRPr="00AA5E0A">
        <w:rPr>
          <w:rStyle w:val="authors-list-item"/>
          <w:smallCaps/>
          <w:u w:val="double"/>
          <w:lang w:val="en-IE"/>
        </w:rPr>
        <w:t>Lembo</w:t>
      </w:r>
      <w:proofErr w:type="spellEnd"/>
      <w:r w:rsidR="004C1FFA" w:rsidRPr="00AA5E0A">
        <w:rPr>
          <w:rStyle w:val="authors-list-item"/>
          <w:smallCaps/>
          <w:u w:val="double"/>
          <w:lang w:val="en-IE"/>
        </w:rPr>
        <w:t xml:space="preserve"> T.</w:t>
      </w:r>
      <w:r w:rsidRPr="00AA5E0A">
        <w:rPr>
          <w:rStyle w:val="comma"/>
          <w:smallCaps/>
          <w:u w:val="double"/>
          <w:lang w:val="en-IE"/>
        </w:rPr>
        <w:t xml:space="preserve">, </w:t>
      </w:r>
      <w:proofErr w:type="spellStart"/>
      <w:r w:rsidRPr="00AA5E0A">
        <w:rPr>
          <w:rStyle w:val="authors-list-item"/>
          <w:smallCaps/>
          <w:u w:val="double"/>
          <w:lang w:val="en-IE"/>
        </w:rPr>
        <w:t>Zadoks</w:t>
      </w:r>
      <w:proofErr w:type="spellEnd"/>
      <w:r w:rsidR="004C1FFA" w:rsidRPr="00AA5E0A">
        <w:rPr>
          <w:rStyle w:val="authors-list-item"/>
          <w:smallCaps/>
          <w:u w:val="double"/>
          <w:lang w:val="en-IE"/>
        </w:rPr>
        <w:t xml:space="preserve"> R.N.</w:t>
      </w:r>
      <w:r w:rsidRPr="00AA5E0A">
        <w:rPr>
          <w:rStyle w:val="comma"/>
          <w:smallCaps/>
          <w:u w:val="double"/>
          <w:lang w:val="en-IE"/>
        </w:rPr>
        <w:t xml:space="preserve">, </w:t>
      </w:r>
      <w:proofErr w:type="spellStart"/>
      <w:r w:rsidRPr="00AA5E0A">
        <w:rPr>
          <w:rStyle w:val="authors-list-item"/>
          <w:smallCaps/>
          <w:u w:val="double"/>
          <w:lang w:val="en-IE"/>
        </w:rPr>
        <w:t>Biek</w:t>
      </w:r>
      <w:proofErr w:type="spellEnd"/>
      <w:r w:rsidR="004C1FFA" w:rsidRPr="00AA5E0A">
        <w:rPr>
          <w:rStyle w:val="authors-list-item"/>
          <w:smallCaps/>
          <w:u w:val="double"/>
          <w:lang w:val="en-IE"/>
        </w:rPr>
        <w:t xml:space="preserve"> R.</w:t>
      </w:r>
      <w:r w:rsidRPr="00AA5E0A">
        <w:rPr>
          <w:rStyle w:val="comma"/>
          <w:smallCaps/>
          <w:u w:val="double"/>
          <w:lang w:val="en-IE"/>
        </w:rPr>
        <w:t xml:space="preserve">, </w:t>
      </w:r>
      <w:r w:rsidRPr="00AA5E0A">
        <w:rPr>
          <w:rStyle w:val="authors-list-item"/>
          <w:smallCaps/>
          <w:u w:val="double"/>
          <w:lang w:val="en-IE"/>
        </w:rPr>
        <w:t>Lewis</w:t>
      </w:r>
      <w:r w:rsidR="004C1FFA" w:rsidRPr="00AA5E0A">
        <w:rPr>
          <w:rStyle w:val="authors-list-item"/>
          <w:smallCaps/>
          <w:u w:val="double"/>
          <w:lang w:val="en-IE"/>
        </w:rPr>
        <w:t xml:space="preserve"> S.</w:t>
      </w:r>
      <w:r w:rsidRPr="00AA5E0A">
        <w:rPr>
          <w:rStyle w:val="comma"/>
          <w:smallCaps/>
          <w:u w:val="double"/>
          <w:lang w:val="en-IE"/>
        </w:rPr>
        <w:t>,</w:t>
      </w:r>
      <w:r w:rsidR="004C1FFA" w:rsidRPr="00AA5E0A">
        <w:rPr>
          <w:rStyle w:val="comma"/>
          <w:smallCaps/>
          <w:u w:val="double"/>
          <w:lang w:val="en-IE"/>
        </w:rPr>
        <w:t xml:space="preserve"> </w:t>
      </w:r>
      <w:proofErr w:type="spellStart"/>
      <w:r w:rsidRPr="00AA5E0A">
        <w:rPr>
          <w:rStyle w:val="authors-list-item"/>
          <w:smallCaps/>
          <w:u w:val="double"/>
          <w:lang w:val="en-IE"/>
        </w:rPr>
        <w:t>Kiwelu</w:t>
      </w:r>
      <w:proofErr w:type="spellEnd"/>
      <w:r w:rsidR="004C1FFA" w:rsidRPr="00AA5E0A">
        <w:rPr>
          <w:rStyle w:val="authors-list-item"/>
          <w:smallCaps/>
          <w:u w:val="double"/>
          <w:lang w:val="en-IE"/>
        </w:rPr>
        <w:t xml:space="preserve"> I.</w:t>
      </w:r>
      <w:r w:rsidRPr="00AA5E0A">
        <w:rPr>
          <w:rStyle w:val="comma"/>
          <w:smallCaps/>
          <w:u w:val="double"/>
          <w:lang w:val="en-IE"/>
        </w:rPr>
        <w:t xml:space="preserve">, </w:t>
      </w:r>
      <w:proofErr w:type="spellStart"/>
      <w:r w:rsidRPr="00AA5E0A">
        <w:rPr>
          <w:rStyle w:val="authors-list-item"/>
          <w:smallCaps/>
          <w:u w:val="double"/>
          <w:lang w:val="en-IE"/>
        </w:rPr>
        <w:t>Mmbaga</w:t>
      </w:r>
      <w:proofErr w:type="spellEnd"/>
      <w:r w:rsidRPr="00AA5E0A">
        <w:rPr>
          <w:rStyle w:val="authors-list-item"/>
          <w:smallCaps/>
          <w:u w:val="double"/>
          <w:lang w:val="en-IE"/>
        </w:rPr>
        <w:t xml:space="preserve"> B.T., </w:t>
      </w:r>
      <w:proofErr w:type="spellStart"/>
      <w:r w:rsidRPr="00AA5E0A">
        <w:rPr>
          <w:rStyle w:val="authors-list-item"/>
          <w:smallCaps/>
          <w:u w:val="double"/>
          <w:lang w:val="en-IE"/>
        </w:rPr>
        <w:t>Mshanga</w:t>
      </w:r>
      <w:proofErr w:type="spellEnd"/>
      <w:r w:rsidRPr="00AA5E0A">
        <w:rPr>
          <w:rStyle w:val="authors-list-item"/>
          <w:smallCaps/>
          <w:u w:val="double"/>
          <w:lang w:val="en-IE"/>
        </w:rPr>
        <w:t xml:space="preserve"> D.</w:t>
      </w:r>
      <w:r w:rsidRPr="00AA5E0A">
        <w:rPr>
          <w:rStyle w:val="comma"/>
          <w:smallCaps/>
          <w:u w:val="double"/>
          <w:lang w:val="en-IE"/>
        </w:rPr>
        <w:t xml:space="preserve">, </w:t>
      </w:r>
      <w:r w:rsidRPr="00AA5E0A">
        <w:rPr>
          <w:rStyle w:val="authors-list-item"/>
          <w:smallCaps/>
          <w:u w:val="double"/>
          <w:lang w:val="en-IE"/>
        </w:rPr>
        <w:t>Shirima G.</w:t>
      </w:r>
      <w:r w:rsidRPr="00AA5E0A">
        <w:rPr>
          <w:rStyle w:val="comma"/>
          <w:smallCaps/>
          <w:u w:val="double"/>
          <w:lang w:val="en-IE"/>
        </w:rPr>
        <w:t xml:space="preserve">, </w:t>
      </w:r>
      <w:proofErr w:type="spellStart"/>
      <w:r w:rsidRPr="00AA5E0A">
        <w:rPr>
          <w:rStyle w:val="authors-list-item"/>
          <w:smallCaps/>
          <w:u w:val="double"/>
          <w:lang w:val="en-IE"/>
        </w:rPr>
        <w:t>Denwood</w:t>
      </w:r>
      <w:proofErr w:type="spellEnd"/>
      <w:r w:rsidRPr="00AA5E0A">
        <w:rPr>
          <w:rStyle w:val="authors-list-item"/>
          <w:smallCaps/>
          <w:u w:val="double"/>
          <w:lang w:val="en-IE"/>
        </w:rPr>
        <w:t xml:space="preserve"> M. &amp; Forde T.L.</w:t>
      </w:r>
      <w:r w:rsidRPr="00AA5E0A">
        <w:rPr>
          <w:rStyle w:val="period"/>
          <w:u w:val="double"/>
          <w:lang w:val="en-IE"/>
        </w:rPr>
        <w:t xml:space="preserve"> (202</w:t>
      </w:r>
      <w:r w:rsidRPr="00AA5E0A">
        <w:rPr>
          <w:rStyle w:val="cit"/>
          <w:u w:val="double"/>
          <w:lang w:val="en-IE"/>
        </w:rPr>
        <w:t>0).</w:t>
      </w:r>
      <w:r w:rsidR="004C1FFA" w:rsidRPr="00AA5E0A">
        <w:rPr>
          <w:u w:val="double"/>
          <w:lang w:val="en-IE"/>
        </w:rPr>
        <w:t xml:space="preserve"> </w:t>
      </w:r>
      <w:r w:rsidR="004C1FFA" w:rsidRPr="00AA5E0A">
        <w:rPr>
          <w:u w:val="double"/>
        </w:rPr>
        <w:t xml:space="preserve">Practical and effective diagnosis of animal anthrax in endemic low-resource settings. </w:t>
      </w:r>
      <w:proofErr w:type="spellStart"/>
      <w:r w:rsidR="004C1FFA" w:rsidRPr="00AA5E0A">
        <w:rPr>
          <w:i/>
          <w:iCs/>
          <w:u w:val="double"/>
          <w:lang w:val="fr-FR"/>
        </w:rPr>
        <w:t>PLoS</w:t>
      </w:r>
      <w:proofErr w:type="spellEnd"/>
      <w:r w:rsidR="004C1FFA" w:rsidRPr="00AA5E0A">
        <w:rPr>
          <w:i/>
          <w:iCs/>
          <w:u w:val="double"/>
          <w:lang w:val="fr-FR"/>
        </w:rPr>
        <w:t xml:space="preserve"> </w:t>
      </w:r>
      <w:proofErr w:type="spellStart"/>
      <w:r w:rsidR="004C1FFA" w:rsidRPr="00AA5E0A">
        <w:rPr>
          <w:i/>
          <w:iCs/>
          <w:u w:val="double"/>
          <w:lang w:val="fr-FR"/>
        </w:rPr>
        <w:t>Negl</w:t>
      </w:r>
      <w:proofErr w:type="spellEnd"/>
      <w:r w:rsidR="004C1FFA" w:rsidRPr="00AA5E0A">
        <w:rPr>
          <w:i/>
          <w:iCs/>
          <w:u w:val="double"/>
          <w:lang w:val="fr-FR"/>
        </w:rPr>
        <w:t>. Trop. Dis</w:t>
      </w:r>
      <w:r w:rsidR="004C1FFA" w:rsidRPr="00AA5E0A">
        <w:rPr>
          <w:u w:val="double"/>
          <w:lang w:val="fr-FR"/>
        </w:rPr>
        <w:t>.,</w:t>
      </w:r>
      <w:r w:rsidR="004C1FFA" w:rsidRPr="00AA5E0A">
        <w:rPr>
          <w:rStyle w:val="cit"/>
          <w:u w:val="double"/>
          <w:lang w:val="fr-FR"/>
        </w:rPr>
        <w:t xml:space="preserve"> 14(9):e0008655.</w:t>
      </w:r>
      <w:r w:rsidR="004C1FFA" w:rsidRPr="00AA5E0A">
        <w:rPr>
          <w:u w:val="double"/>
          <w:lang w:val="fr-FR"/>
        </w:rPr>
        <w:t xml:space="preserve"> </w:t>
      </w:r>
      <w:proofErr w:type="spellStart"/>
      <w:r w:rsidR="004C1FFA" w:rsidRPr="00AA5E0A">
        <w:rPr>
          <w:rStyle w:val="citation-doi"/>
          <w:u w:val="double"/>
          <w:lang w:val="fr-FR"/>
        </w:rPr>
        <w:t>doi</w:t>
      </w:r>
      <w:proofErr w:type="spellEnd"/>
      <w:r w:rsidR="004C1FFA" w:rsidRPr="00AA5E0A">
        <w:rPr>
          <w:rStyle w:val="citation-doi"/>
          <w:u w:val="double"/>
          <w:lang w:val="fr-FR"/>
        </w:rPr>
        <w:t xml:space="preserve">: 10.1371/journal.pntd.0008655. </w:t>
      </w:r>
      <w:proofErr w:type="spellStart"/>
      <w:r w:rsidR="004C1FFA" w:rsidRPr="00AA5E0A">
        <w:rPr>
          <w:rStyle w:val="secondary-date"/>
          <w:u w:val="double"/>
          <w:lang w:val="fr-FR"/>
        </w:rPr>
        <w:t>eCollection</w:t>
      </w:r>
      <w:proofErr w:type="spellEnd"/>
      <w:r w:rsidR="004C1FFA" w:rsidRPr="00AA5E0A">
        <w:rPr>
          <w:rStyle w:val="secondary-date"/>
          <w:u w:val="double"/>
          <w:lang w:val="fr-FR"/>
        </w:rPr>
        <w:t xml:space="preserve"> 2020 Sep.</w:t>
      </w:r>
    </w:p>
    <w:p w14:paraId="59B41A50" w14:textId="5FD82B14" w:rsidR="00B40CBD" w:rsidRPr="00BE7ACA" w:rsidRDefault="00B40CBD" w:rsidP="00D63ACB">
      <w:pPr>
        <w:pStyle w:val="Ref"/>
        <w:spacing w:after="200"/>
        <w:rPr>
          <w:lang w:val="it-IT"/>
        </w:rPr>
      </w:pPr>
      <w:r w:rsidRPr="00AA5E0A">
        <w:rPr>
          <w:smallCaps/>
          <w:lang w:val="it-IT"/>
        </w:rPr>
        <w:t xml:space="preserve">Ascoli A. </w:t>
      </w:r>
      <w:r w:rsidRPr="00AA5E0A">
        <w:rPr>
          <w:lang w:val="it-IT"/>
        </w:rPr>
        <w:t xml:space="preserve">(1911). Die Präzipitindiagnose bei Milzbrand. </w:t>
      </w:r>
      <w:r w:rsidRPr="00BE7ACA">
        <w:rPr>
          <w:i/>
          <w:iCs/>
          <w:lang w:val="it-IT"/>
        </w:rPr>
        <w:t>Centralbl. Bakt. Parasit. Infeckt.</w:t>
      </w:r>
      <w:r w:rsidRPr="00BE7ACA">
        <w:rPr>
          <w:lang w:val="it-IT"/>
        </w:rPr>
        <w:t xml:space="preserve">, </w:t>
      </w:r>
      <w:r w:rsidRPr="00BE7ACA">
        <w:rPr>
          <w:b/>
          <w:bCs/>
          <w:lang w:val="it-IT"/>
        </w:rPr>
        <w:t>58</w:t>
      </w:r>
      <w:r w:rsidRPr="00BE7ACA">
        <w:rPr>
          <w:lang w:val="it-IT"/>
        </w:rPr>
        <w:t>, 63–70.</w:t>
      </w:r>
    </w:p>
    <w:p w14:paraId="59B41A51" w14:textId="77777777" w:rsidR="00B40CBD" w:rsidRPr="00AA5E0A" w:rsidRDefault="00B40CBD" w:rsidP="00D63ACB">
      <w:pPr>
        <w:pStyle w:val="Ref"/>
        <w:spacing w:after="200"/>
        <w:rPr>
          <w:lang w:val="en-IE"/>
        </w:rPr>
      </w:pPr>
      <w:r w:rsidRPr="00BE7ACA">
        <w:rPr>
          <w:smallCaps/>
          <w:lang w:val="it-IT"/>
        </w:rPr>
        <w:t>Beyer W., Glockner P., Otto J. &amp; Bohm R.</w:t>
      </w:r>
      <w:r w:rsidRPr="00BE7ACA">
        <w:rPr>
          <w:lang w:val="it-IT"/>
        </w:rPr>
        <w:t xml:space="preserve"> (1996). </w:t>
      </w:r>
      <w:r w:rsidRPr="00AA5E0A">
        <w:rPr>
          <w:lang w:val="en-IE"/>
        </w:rPr>
        <w:t xml:space="preserve">A nested PCR and DNA-amplification-fingerprinting method for detection and identification of </w:t>
      </w:r>
      <w:r w:rsidRPr="00AA5E0A">
        <w:rPr>
          <w:i/>
          <w:iCs/>
          <w:lang w:val="en-IE"/>
        </w:rPr>
        <w:t>Bacillus anthracis</w:t>
      </w:r>
      <w:r w:rsidRPr="00AA5E0A">
        <w:rPr>
          <w:lang w:val="en-IE"/>
        </w:rPr>
        <w:t xml:space="preserve"> in soil samples from former tanneries. </w:t>
      </w:r>
      <w:r w:rsidRPr="00AA5E0A">
        <w:rPr>
          <w:i/>
          <w:iCs/>
          <w:lang w:val="en-IE"/>
        </w:rPr>
        <w:t xml:space="preserve">Salisbury Med. Bull., </w:t>
      </w:r>
      <w:r w:rsidRPr="00AA5E0A">
        <w:rPr>
          <w:lang w:val="en-IE"/>
        </w:rPr>
        <w:t>No. 87, Special Suppl., 47–49.</w:t>
      </w:r>
    </w:p>
    <w:p w14:paraId="59B41A52" w14:textId="77777777" w:rsidR="00B40CBD" w:rsidRPr="00AA5E0A" w:rsidRDefault="00B40CBD" w:rsidP="00D63ACB">
      <w:pPr>
        <w:pStyle w:val="Ref"/>
        <w:spacing w:after="200"/>
        <w:rPr>
          <w:lang w:val="en-IE"/>
        </w:rPr>
      </w:pPr>
      <w:r w:rsidRPr="00AA5E0A">
        <w:rPr>
          <w:smallCaps/>
          <w:lang w:val="en-IE"/>
        </w:rPr>
        <w:t xml:space="preserve">Brown E.R. &amp; Cherry W.B. </w:t>
      </w:r>
      <w:r w:rsidRPr="00AA5E0A">
        <w:rPr>
          <w:lang w:val="en-IE"/>
        </w:rPr>
        <w:t xml:space="preserve">(1955). Specific identification of </w:t>
      </w:r>
      <w:r w:rsidRPr="00AA5E0A">
        <w:rPr>
          <w:i/>
          <w:iCs/>
          <w:lang w:val="en-IE"/>
        </w:rPr>
        <w:t>Bacillus anthracis</w:t>
      </w:r>
      <w:r w:rsidRPr="00AA5E0A">
        <w:rPr>
          <w:lang w:val="en-IE"/>
        </w:rPr>
        <w:t xml:space="preserve"> by means of a variant bacteriophage. </w:t>
      </w:r>
      <w:r w:rsidRPr="00AA5E0A">
        <w:rPr>
          <w:i/>
          <w:iCs/>
          <w:lang w:val="en-IE"/>
        </w:rPr>
        <w:t>J. Infect. Dis.</w:t>
      </w:r>
      <w:r w:rsidRPr="00AA5E0A">
        <w:rPr>
          <w:lang w:val="en-IE"/>
        </w:rPr>
        <w:t xml:space="preserve">, </w:t>
      </w:r>
      <w:r w:rsidRPr="00AA5E0A">
        <w:rPr>
          <w:b/>
          <w:bCs/>
          <w:lang w:val="en-IE"/>
        </w:rPr>
        <w:t>96</w:t>
      </w:r>
      <w:r w:rsidRPr="00AA5E0A">
        <w:rPr>
          <w:lang w:val="en-IE"/>
        </w:rPr>
        <w:t>, 34–39.</w:t>
      </w:r>
    </w:p>
    <w:p w14:paraId="59B41A53" w14:textId="77777777" w:rsidR="00B40CBD" w:rsidRPr="00AA5E0A" w:rsidRDefault="00B40CBD" w:rsidP="00D63ACB">
      <w:pPr>
        <w:pStyle w:val="Ref"/>
        <w:spacing w:after="200"/>
        <w:rPr>
          <w:lang w:val="en-IE"/>
        </w:rPr>
      </w:pPr>
      <w:proofErr w:type="spellStart"/>
      <w:r w:rsidRPr="00AA5E0A">
        <w:rPr>
          <w:smallCaps/>
          <w:lang w:val="en-IE"/>
        </w:rPr>
        <w:t>Ezzell</w:t>
      </w:r>
      <w:proofErr w:type="spellEnd"/>
      <w:r w:rsidRPr="00AA5E0A">
        <w:rPr>
          <w:smallCaps/>
          <w:lang w:val="en-IE"/>
        </w:rPr>
        <w:t xml:space="preserve"> J.W. &amp; Abshire T.</w:t>
      </w:r>
      <w:r w:rsidRPr="00AA5E0A">
        <w:rPr>
          <w:lang w:val="en-IE"/>
        </w:rPr>
        <w:t xml:space="preserve">G. (1996). Encapsulation of </w:t>
      </w:r>
      <w:r w:rsidRPr="00AA5E0A">
        <w:rPr>
          <w:i/>
          <w:iCs/>
          <w:lang w:val="en-IE"/>
        </w:rPr>
        <w:t>Bacillus anthracis</w:t>
      </w:r>
      <w:r w:rsidRPr="00AA5E0A">
        <w:rPr>
          <w:lang w:val="en-IE"/>
        </w:rPr>
        <w:t xml:space="preserve"> spores and spore identification. </w:t>
      </w:r>
      <w:r w:rsidRPr="00AA5E0A">
        <w:rPr>
          <w:i/>
          <w:iCs/>
          <w:lang w:val="en-IE"/>
        </w:rPr>
        <w:t xml:space="preserve">Salisbury Med. Bull., </w:t>
      </w:r>
      <w:r w:rsidRPr="00AA5E0A">
        <w:rPr>
          <w:lang w:val="en-IE"/>
        </w:rPr>
        <w:t>No 87, Special Suppl., 42.</w:t>
      </w:r>
    </w:p>
    <w:p w14:paraId="59B41A54" w14:textId="77777777" w:rsidR="005D62EF" w:rsidRPr="00AA5E0A" w:rsidRDefault="005D62EF" w:rsidP="00D63ACB">
      <w:pPr>
        <w:pStyle w:val="Ref"/>
        <w:spacing w:after="200"/>
        <w:rPr>
          <w:lang w:val="en-IE"/>
        </w:rPr>
      </w:pPr>
      <w:proofErr w:type="spellStart"/>
      <w:r w:rsidRPr="00AA5E0A">
        <w:rPr>
          <w:lang w:val="en-IE"/>
        </w:rPr>
        <w:t>H</w:t>
      </w:r>
      <w:r w:rsidRPr="00AA5E0A">
        <w:rPr>
          <w:smallCaps/>
          <w:lang w:val="en-IE"/>
        </w:rPr>
        <w:t>adjinicolaou</w:t>
      </w:r>
      <w:proofErr w:type="spellEnd"/>
      <w:r w:rsidRPr="00AA5E0A">
        <w:rPr>
          <w:lang w:val="en-IE"/>
        </w:rPr>
        <w:t xml:space="preserve"> A.V., D</w:t>
      </w:r>
      <w:r w:rsidRPr="00AA5E0A">
        <w:rPr>
          <w:smallCaps/>
          <w:lang w:val="en-IE"/>
        </w:rPr>
        <w:t>emetriou</w:t>
      </w:r>
      <w:r w:rsidRPr="00AA5E0A">
        <w:rPr>
          <w:lang w:val="en-IE"/>
        </w:rPr>
        <w:t xml:space="preserve"> V.L., </w:t>
      </w:r>
      <w:proofErr w:type="spellStart"/>
      <w:r w:rsidRPr="00AA5E0A">
        <w:rPr>
          <w:lang w:val="en-IE"/>
        </w:rPr>
        <w:t>H</w:t>
      </w:r>
      <w:r w:rsidRPr="00AA5E0A">
        <w:rPr>
          <w:smallCaps/>
          <w:lang w:val="en-IE"/>
        </w:rPr>
        <w:t>ezka</w:t>
      </w:r>
      <w:proofErr w:type="spellEnd"/>
      <w:r w:rsidRPr="00AA5E0A">
        <w:rPr>
          <w:lang w:val="en-IE"/>
        </w:rPr>
        <w:t xml:space="preserve"> J., B</w:t>
      </w:r>
      <w:r w:rsidRPr="00AA5E0A">
        <w:rPr>
          <w:smallCaps/>
          <w:lang w:val="en-IE"/>
        </w:rPr>
        <w:t>eyer</w:t>
      </w:r>
      <w:r w:rsidRPr="00AA5E0A">
        <w:rPr>
          <w:lang w:val="en-IE"/>
        </w:rPr>
        <w:t xml:space="preserve"> W., H</w:t>
      </w:r>
      <w:r w:rsidRPr="00AA5E0A">
        <w:rPr>
          <w:smallCaps/>
          <w:lang w:val="en-IE"/>
        </w:rPr>
        <w:t>adfield</w:t>
      </w:r>
      <w:r w:rsidRPr="00AA5E0A">
        <w:rPr>
          <w:lang w:val="en-IE"/>
        </w:rPr>
        <w:t xml:space="preserve"> T.L. </w:t>
      </w:r>
      <w:r w:rsidR="0037394E" w:rsidRPr="00AA5E0A">
        <w:rPr>
          <w:lang w:val="en-IE"/>
        </w:rPr>
        <w:t>&amp;</w:t>
      </w:r>
      <w:r w:rsidRPr="00AA5E0A">
        <w:rPr>
          <w:lang w:val="en-IE"/>
        </w:rPr>
        <w:t xml:space="preserve"> </w:t>
      </w:r>
      <w:proofErr w:type="spellStart"/>
      <w:r w:rsidRPr="00AA5E0A">
        <w:rPr>
          <w:lang w:val="en-IE"/>
        </w:rPr>
        <w:t>K</w:t>
      </w:r>
      <w:r w:rsidRPr="00AA5E0A">
        <w:rPr>
          <w:smallCaps/>
          <w:lang w:val="en-IE"/>
        </w:rPr>
        <w:t>ostrikis</w:t>
      </w:r>
      <w:proofErr w:type="spellEnd"/>
      <w:r w:rsidR="008601C2" w:rsidRPr="00AA5E0A">
        <w:rPr>
          <w:lang w:val="en-IE"/>
        </w:rPr>
        <w:t xml:space="preserve"> L.G. (2009). </w:t>
      </w:r>
      <w:r w:rsidRPr="00AA5E0A">
        <w:rPr>
          <w:lang w:val="en-IE"/>
        </w:rPr>
        <w:t xml:space="preserve">Use of molecular beacons and multi-allelic real-time PCR for detection of and discrimination between virulent </w:t>
      </w:r>
      <w:r w:rsidRPr="00AA5E0A">
        <w:rPr>
          <w:i/>
          <w:lang w:val="en-IE"/>
        </w:rPr>
        <w:t>Bacillus anthracis</w:t>
      </w:r>
      <w:r w:rsidRPr="00AA5E0A">
        <w:rPr>
          <w:lang w:val="en-IE"/>
        </w:rPr>
        <w:t xml:space="preserve"> and other </w:t>
      </w:r>
      <w:r w:rsidRPr="00AA5E0A">
        <w:rPr>
          <w:i/>
          <w:lang w:val="en-IE"/>
        </w:rPr>
        <w:t>Bacillus</w:t>
      </w:r>
      <w:r w:rsidR="008601C2" w:rsidRPr="00AA5E0A">
        <w:rPr>
          <w:lang w:val="en-IE"/>
        </w:rPr>
        <w:t xml:space="preserve"> isolates. </w:t>
      </w:r>
      <w:r w:rsidRPr="00AA5E0A">
        <w:rPr>
          <w:i/>
          <w:lang w:val="en-IE"/>
        </w:rPr>
        <w:t xml:space="preserve">J. </w:t>
      </w:r>
      <w:proofErr w:type="spellStart"/>
      <w:r w:rsidRPr="00AA5E0A">
        <w:rPr>
          <w:i/>
          <w:lang w:val="en-IE"/>
        </w:rPr>
        <w:t>Microbiol</w:t>
      </w:r>
      <w:proofErr w:type="spellEnd"/>
      <w:r w:rsidRPr="00AA5E0A">
        <w:rPr>
          <w:i/>
          <w:lang w:val="en-IE"/>
        </w:rPr>
        <w:t>. Methods</w:t>
      </w:r>
      <w:r w:rsidRPr="00AA5E0A">
        <w:rPr>
          <w:lang w:val="en-IE"/>
        </w:rPr>
        <w:t xml:space="preserve">, </w:t>
      </w:r>
      <w:r w:rsidRPr="00AA5E0A">
        <w:rPr>
          <w:b/>
          <w:lang w:val="en-IE"/>
        </w:rPr>
        <w:t>78</w:t>
      </w:r>
      <w:r w:rsidRPr="00AA5E0A">
        <w:rPr>
          <w:lang w:val="en-IE"/>
        </w:rPr>
        <w:t>, 45</w:t>
      </w:r>
      <w:r w:rsidR="008601C2" w:rsidRPr="00AA5E0A">
        <w:rPr>
          <w:lang w:val="en-IE"/>
        </w:rPr>
        <w:t>–</w:t>
      </w:r>
      <w:r w:rsidRPr="00AA5E0A">
        <w:rPr>
          <w:lang w:val="en-IE"/>
        </w:rPr>
        <w:t>53.</w:t>
      </w:r>
    </w:p>
    <w:p w14:paraId="59B41A55" w14:textId="77777777" w:rsidR="005D62EF" w:rsidRPr="00AA5E0A" w:rsidRDefault="005D62EF" w:rsidP="00D63ACB">
      <w:pPr>
        <w:pStyle w:val="Ref"/>
        <w:spacing w:after="200"/>
        <w:rPr>
          <w:lang w:val="en-IE"/>
        </w:rPr>
      </w:pPr>
      <w:proofErr w:type="spellStart"/>
      <w:r w:rsidRPr="00AA5E0A">
        <w:rPr>
          <w:lang w:val="en-IE"/>
        </w:rPr>
        <w:t>H</w:t>
      </w:r>
      <w:r w:rsidRPr="00AA5E0A">
        <w:rPr>
          <w:smallCaps/>
          <w:lang w:val="en-IE"/>
        </w:rPr>
        <w:t>offmaster</w:t>
      </w:r>
      <w:proofErr w:type="spellEnd"/>
      <w:r w:rsidRPr="00AA5E0A">
        <w:rPr>
          <w:lang w:val="en-IE"/>
        </w:rPr>
        <w:t xml:space="preserve"> A.R., M</w:t>
      </w:r>
      <w:r w:rsidRPr="00AA5E0A">
        <w:rPr>
          <w:smallCaps/>
          <w:lang w:val="en-IE"/>
        </w:rPr>
        <w:t>eyer</w:t>
      </w:r>
      <w:r w:rsidRPr="00AA5E0A">
        <w:rPr>
          <w:lang w:val="en-IE"/>
        </w:rPr>
        <w:t xml:space="preserve"> R.F., B</w:t>
      </w:r>
      <w:r w:rsidRPr="00AA5E0A">
        <w:rPr>
          <w:smallCaps/>
          <w:lang w:val="en-IE"/>
        </w:rPr>
        <w:t>owen</w:t>
      </w:r>
      <w:r w:rsidRPr="00AA5E0A">
        <w:rPr>
          <w:lang w:val="en-IE"/>
        </w:rPr>
        <w:t xml:space="preserve"> M.P., M</w:t>
      </w:r>
      <w:r w:rsidRPr="00AA5E0A">
        <w:rPr>
          <w:smallCaps/>
          <w:lang w:val="en-IE"/>
        </w:rPr>
        <w:t>arston</w:t>
      </w:r>
      <w:r w:rsidRPr="00AA5E0A">
        <w:rPr>
          <w:lang w:val="en-IE"/>
        </w:rPr>
        <w:t xml:space="preserve"> C.K., </w:t>
      </w:r>
      <w:proofErr w:type="spellStart"/>
      <w:r w:rsidRPr="00AA5E0A">
        <w:rPr>
          <w:lang w:val="en-IE"/>
        </w:rPr>
        <w:t>W</w:t>
      </w:r>
      <w:r w:rsidRPr="00AA5E0A">
        <w:rPr>
          <w:smallCaps/>
          <w:lang w:val="en-IE"/>
        </w:rPr>
        <w:t>eyant</w:t>
      </w:r>
      <w:proofErr w:type="spellEnd"/>
      <w:r w:rsidRPr="00AA5E0A">
        <w:rPr>
          <w:lang w:val="en-IE"/>
        </w:rPr>
        <w:t xml:space="preserve"> R.S., T</w:t>
      </w:r>
      <w:r w:rsidRPr="00AA5E0A">
        <w:rPr>
          <w:smallCaps/>
          <w:lang w:val="en-IE"/>
        </w:rPr>
        <w:t>hurman</w:t>
      </w:r>
      <w:r w:rsidRPr="00AA5E0A">
        <w:rPr>
          <w:lang w:val="en-IE"/>
        </w:rPr>
        <w:t xml:space="preserve"> K., M</w:t>
      </w:r>
      <w:r w:rsidRPr="00AA5E0A">
        <w:rPr>
          <w:smallCaps/>
          <w:lang w:val="en-IE"/>
        </w:rPr>
        <w:t>essenger</w:t>
      </w:r>
      <w:r w:rsidRPr="00AA5E0A">
        <w:rPr>
          <w:lang w:val="en-IE"/>
        </w:rPr>
        <w:t xml:space="preserve"> S.L., M</w:t>
      </w:r>
      <w:r w:rsidRPr="00AA5E0A">
        <w:rPr>
          <w:smallCaps/>
          <w:lang w:val="en-IE"/>
        </w:rPr>
        <w:t>inor</w:t>
      </w:r>
      <w:r w:rsidRPr="00AA5E0A">
        <w:rPr>
          <w:lang w:val="en-IE"/>
        </w:rPr>
        <w:t xml:space="preserve"> E.E., W</w:t>
      </w:r>
      <w:r w:rsidRPr="00AA5E0A">
        <w:rPr>
          <w:smallCaps/>
          <w:lang w:val="en-IE"/>
        </w:rPr>
        <w:t>inchell</w:t>
      </w:r>
      <w:r w:rsidRPr="00AA5E0A">
        <w:rPr>
          <w:lang w:val="en-IE"/>
        </w:rPr>
        <w:t xml:space="preserve"> J.M., </w:t>
      </w:r>
      <w:proofErr w:type="spellStart"/>
      <w:r w:rsidRPr="00AA5E0A">
        <w:rPr>
          <w:lang w:val="en-IE"/>
        </w:rPr>
        <w:t>R</w:t>
      </w:r>
      <w:r w:rsidR="00D52C2D" w:rsidRPr="00AA5E0A">
        <w:rPr>
          <w:smallCaps/>
          <w:lang w:val="en-IE"/>
        </w:rPr>
        <w:t>ass</w:t>
      </w:r>
      <w:r w:rsidRPr="00AA5E0A">
        <w:rPr>
          <w:smallCaps/>
          <w:lang w:val="en-IE"/>
        </w:rPr>
        <w:t>mussen</w:t>
      </w:r>
      <w:proofErr w:type="spellEnd"/>
      <w:r w:rsidRPr="00AA5E0A">
        <w:rPr>
          <w:lang w:val="en-IE"/>
        </w:rPr>
        <w:t xml:space="preserve"> M.V., N</w:t>
      </w:r>
      <w:r w:rsidRPr="00AA5E0A">
        <w:rPr>
          <w:smallCaps/>
          <w:lang w:val="en-IE"/>
        </w:rPr>
        <w:t>ewton</w:t>
      </w:r>
      <w:r w:rsidRPr="00AA5E0A">
        <w:rPr>
          <w:lang w:val="en-IE"/>
        </w:rPr>
        <w:t xml:space="preserve"> B.R., P</w:t>
      </w:r>
      <w:r w:rsidRPr="00AA5E0A">
        <w:rPr>
          <w:smallCaps/>
          <w:lang w:val="en-IE"/>
        </w:rPr>
        <w:t>arker</w:t>
      </w:r>
      <w:r w:rsidRPr="00AA5E0A">
        <w:rPr>
          <w:lang w:val="en-IE"/>
        </w:rPr>
        <w:t xml:space="preserve"> J.T., M</w:t>
      </w:r>
      <w:r w:rsidRPr="00AA5E0A">
        <w:rPr>
          <w:smallCaps/>
          <w:lang w:val="en-IE"/>
        </w:rPr>
        <w:t>orrill</w:t>
      </w:r>
      <w:r w:rsidRPr="00AA5E0A">
        <w:rPr>
          <w:lang w:val="en-IE"/>
        </w:rPr>
        <w:t xml:space="preserve"> W.E., M</w:t>
      </w:r>
      <w:r w:rsidRPr="00AA5E0A">
        <w:rPr>
          <w:smallCaps/>
          <w:lang w:val="en-IE"/>
        </w:rPr>
        <w:t>c</w:t>
      </w:r>
      <w:r w:rsidRPr="00AA5E0A">
        <w:rPr>
          <w:lang w:val="en-IE"/>
        </w:rPr>
        <w:t>K</w:t>
      </w:r>
      <w:r w:rsidRPr="00AA5E0A">
        <w:rPr>
          <w:smallCaps/>
          <w:lang w:val="en-IE"/>
        </w:rPr>
        <w:t>inney</w:t>
      </w:r>
      <w:r w:rsidRPr="00AA5E0A">
        <w:rPr>
          <w:lang w:val="en-IE"/>
        </w:rPr>
        <w:t xml:space="preserve"> N., B</w:t>
      </w:r>
      <w:r w:rsidRPr="00AA5E0A">
        <w:rPr>
          <w:smallCaps/>
          <w:lang w:val="en-IE"/>
        </w:rPr>
        <w:t>arnett</w:t>
      </w:r>
      <w:r w:rsidRPr="00AA5E0A">
        <w:rPr>
          <w:lang w:val="en-IE"/>
        </w:rPr>
        <w:t xml:space="preserve"> G.A., </w:t>
      </w:r>
      <w:proofErr w:type="spellStart"/>
      <w:r w:rsidRPr="00AA5E0A">
        <w:rPr>
          <w:lang w:val="en-IE"/>
        </w:rPr>
        <w:t>S</w:t>
      </w:r>
      <w:r w:rsidRPr="00AA5E0A">
        <w:rPr>
          <w:smallCaps/>
          <w:lang w:val="en-IE"/>
        </w:rPr>
        <w:t>ejvar</w:t>
      </w:r>
      <w:proofErr w:type="spellEnd"/>
      <w:r w:rsidRPr="00AA5E0A">
        <w:rPr>
          <w:lang w:val="en-IE"/>
        </w:rPr>
        <w:t xml:space="preserve"> J.J., J</w:t>
      </w:r>
      <w:r w:rsidRPr="00AA5E0A">
        <w:rPr>
          <w:smallCaps/>
          <w:lang w:val="en-IE"/>
        </w:rPr>
        <w:t>ernigan</w:t>
      </w:r>
      <w:r w:rsidRPr="00AA5E0A">
        <w:rPr>
          <w:lang w:val="en-IE"/>
        </w:rPr>
        <w:t xml:space="preserve"> J.A., P</w:t>
      </w:r>
      <w:r w:rsidRPr="00AA5E0A">
        <w:rPr>
          <w:smallCaps/>
          <w:lang w:val="en-IE"/>
        </w:rPr>
        <w:t>erkins</w:t>
      </w:r>
      <w:r w:rsidRPr="00AA5E0A">
        <w:rPr>
          <w:lang w:val="en-IE"/>
        </w:rPr>
        <w:t xml:space="preserve"> B.A. &amp; </w:t>
      </w:r>
      <w:r w:rsidRPr="00AA5E0A">
        <w:rPr>
          <w:lang w:val="en-IE"/>
        </w:rPr>
        <w:lastRenderedPageBreak/>
        <w:t>P</w:t>
      </w:r>
      <w:r w:rsidRPr="00AA5E0A">
        <w:rPr>
          <w:smallCaps/>
          <w:lang w:val="en-IE"/>
        </w:rPr>
        <w:t>opovic</w:t>
      </w:r>
      <w:r w:rsidRPr="00AA5E0A">
        <w:rPr>
          <w:lang w:val="en-IE"/>
        </w:rPr>
        <w:t xml:space="preserve"> T.</w:t>
      </w:r>
      <w:r w:rsidR="008601C2" w:rsidRPr="00AA5E0A">
        <w:rPr>
          <w:lang w:val="en-IE"/>
        </w:rPr>
        <w:t xml:space="preserve"> </w:t>
      </w:r>
      <w:r w:rsidRPr="00AA5E0A">
        <w:rPr>
          <w:lang w:val="en-IE"/>
        </w:rPr>
        <w:t xml:space="preserve">(2002). Evaluation and validation of a real-time polymerase chain reaction assay for rapid identification of </w:t>
      </w:r>
      <w:r w:rsidRPr="00AA5E0A">
        <w:rPr>
          <w:i/>
          <w:lang w:val="en-IE"/>
        </w:rPr>
        <w:t>Bacillus anthracis</w:t>
      </w:r>
      <w:r w:rsidRPr="00AA5E0A">
        <w:rPr>
          <w:lang w:val="en-IE"/>
        </w:rPr>
        <w:t>.</w:t>
      </w:r>
      <w:r w:rsidR="008601C2" w:rsidRPr="00AA5E0A">
        <w:rPr>
          <w:lang w:val="en-IE"/>
        </w:rPr>
        <w:t xml:space="preserve"> </w:t>
      </w:r>
      <w:proofErr w:type="spellStart"/>
      <w:r w:rsidRPr="00AA5E0A">
        <w:rPr>
          <w:i/>
          <w:lang w:val="en-IE"/>
        </w:rPr>
        <w:t>Emerg</w:t>
      </w:r>
      <w:proofErr w:type="spellEnd"/>
      <w:r w:rsidRPr="00AA5E0A">
        <w:rPr>
          <w:i/>
          <w:lang w:val="en-IE"/>
        </w:rPr>
        <w:t>. Infect. Dis</w:t>
      </w:r>
      <w:r w:rsidRPr="00AA5E0A">
        <w:rPr>
          <w:lang w:val="en-IE"/>
        </w:rPr>
        <w:t xml:space="preserve">., </w:t>
      </w:r>
      <w:r w:rsidRPr="00AA5E0A">
        <w:rPr>
          <w:b/>
          <w:lang w:val="en-IE"/>
        </w:rPr>
        <w:t>8</w:t>
      </w:r>
      <w:r w:rsidRPr="00AA5E0A">
        <w:rPr>
          <w:lang w:val="en-IE"/>
        </w:rPr>
        <w:t>, 1178</w:t>
      </w:r>
      <w:r w:rsidR="008601C2" w:rsidRPr="00AA5E0A">
        <w:rPr>
          <w:lang w:val="en-IE"/>
        </w:rPr>
        <w:t>–</w:t>
      </w:r>
      <w:r w:rsidRPr="00AA5E0A">
        <w:rPr>
          <w:lang w:val="en-IE"/>
        </w:rPr>
        <w:t>1182.</w:t>
      </w:r>
    </w:p>
    <w:p w14:paraId="1BAA152D" w14:textId="184D6BAF" w:rsidR="00983005" w:rsidRPr="00983005" w:rsidRDefault="00983005" w:rsidP="00983005">
      <w:pPr>
        <w:pStyle w:val="Ref"/>
        <w:rPr>
          <w:rFonts w:ascii="Arial" w:hAnsi="Arial"/>
          <w:highlight w:val="yellow"/>
          <w:u w:val="double"/>
          <w:lang w:val="en-US"/>
        </w:rPr>
      </w:pPr>
      <w:r w:rsidRPr="00983005">
        <w:rPr>
          <w:rFonts w:ascii="Arial" w:hAnsi="Arial"/>
          <w:smallCaps/>
          <w:highlight w:val="yellow"/>
          <w:u w:val="double"/>
          <w:lang w:val="en-US"/>
        </w:rPr>
        <w:t xml:space="preserve">Hudson M.J, Beyer W., Bohm R., </w:t>
      </w:r>
      <w:proofErr w:type="spellStart"/>
      <w:r w:rsidRPr="00983005">
        <w:rPr>
          <w:rFonts w:ascii="Arial" w:hAnsi="Arial"/>
          <w:smallCaps/>
          <w:highlight w:val="yellow"/>
          <w:u w:val="double"/>
          <w:lang w:val="en-US"/>
        </w:rPr>
        <w:t>Fasanella</w:t>
      </w:r>
      <w:proofErr w:type="spellEnd"/>
      <w:r w:rsidRPr="00983005">
        <w:rPr>
          <w:rFonts w:ascii="Arial" w:hAnsi="Arial"/>
          <w:smallCaps/>
          <w:highlight w:val="yellow"/>
          <w:u w:val="double"/>
          <w:lang w:val="en-US"/>
        </w:rPr>
        <w:t xml:space="preserve"> A., </w:t>
      </w:r>
      <w:proofErr w:type="spellStart"/>
      <w:r w:rsidRPr="00983005">
        <w:rPr>
          <w:rFonts w:ascii="Arial" w:hAnsi="Arial"/>
          <w:smallCaps/>
          <w:highlight w:val="yellow"/>
          <w:u w:val="double"/>
          <w:lang w:val="en-US"/>
        </w:rPr>
        <w:t>Garofolo</w:t>
      </w:r>
      <w:proofErr w:type="spellEnd"/>
      <w:r w:rsidRPr="00983005">
        <w:rPr>
          <w:rFonts w:ascii="Arial" w:hAnsi="Arial"/>
          <w:smallCaps/>
          <w:highlight w:val="yellow"/>
          <w:u w:val="double"/>
          <w:lang w:val="en-US"/>
        </w:rPr>
        <w:t xml:space="preserve"> G., </w:t>
      </w:r>
      <w:proofErr w:type="spellStart"/>
      <w:r w:rsidRPr="00983005">
        <w:rPr>
          <w:rFonts w:ascii="Arial" w:hAnsi="Arial"/>
          <w:smallCaps/>
          <w:highlight w:val="yellow"/>
          <w:u w:val="double"/>
          <w:lang w:val="en-US"/>
        </w:rPr>
        <w:t>Golinski</w:t>
      </w:r>
      <w:proofErr w:type="spellEnd"/>
      <w:r w:rsidRPr="00983005">
        <w:rPr>
          <w:rFonts w:ascii="Arial" w:hAnsi="Arial"/>
          <w:smallCaps/>
          <w:highlight w:val="yellow"/>
          <w:u w:val="double"/>
          <w:lang w:val="en-US"/>
        </w:rPr>
        <w:t xml:space="preserve"> R., </w:t>
      </w:r>
      <w:proofErr w:type="spellStart"/>
      <w:r w:rsidRPr="00983005">
        <w:rPr>
          <w:rFonts w:ascii="Arial" w:hAnsi="Arial"/>
          <w:smallCaps/>
          <w:highlight w:val="yellow"/>
          <w:u w:val="double"/>
          <w:lang w:val="en-US"/>
        </w:rPr>
        <w:t>Goossens</w:t>
      </w:r>
      <w:proofErr w:type="spellEnd"/>
      <w:r w:rsidRPr="00983005">
        <w:rPr>
          <w:rFonts w:ascii="Arial" w:hAnsi="Arial"/>
          <w:smallCaps/>
          <w:highlight w:val="yellow"/>
          <w:u w:val="double"/>
          <w:lang w:val="en-US"/>
        </w:rPr>
        <w:t xml:space="preserve"> P.L., Hahn U., </w:t>
      </w:r>
      <w:proofErr w:type="spellStart"/>
      <w:r w:rsidRPr="00983005">
        <w:rPr>
          <w:rFonts w:ascii="Arial" w:hAnsi="Arial"/>
          <w:smallCaps/>
          <w:highlight w:val="yellow"/>
          <w:u w:val="double"/>
          <w:lang w:val="en-US"/>
        </w:rPr>
        <w:t>Hallis</w:t>
      </w:r>
      <w:proofErr w:type="spellEnd"/>
      <w:r w:rsidRPr="00983005">
        <w:rPr>
          <w:rFonts w:ascii="Arial" w:hAnsi="Arial"/>
          <w:smallCaps/>
          <w:highlight w:val="yellow"/>
          <w:u w:val="double"/>
          <w:lang w:val="en-US"/>
        </w:rPr>
        <w:t xml:space="preserve"> B., King A., Mock M., </w:t>
      </w:r>
      <w:proofErr w:type="spellStart"/>
      <w:r w:rsidRPr="00983005">
        <w:rPr>
          <w:rFonts w:ascii="Arial" w:hAnsi="Arial"/>
          <w:smallCaps/>
          <w:highlight w:val="yellow"/>
          <w:u w:val="double"/>
          <w:lang w:val="en-US"/>
        </w:rPr>
        <w:t>Montecucco</w:t>
      </w:r>
      <w:proofErr w:type="spellEnd"/>
      <w:r w:rsidRPr="00983005">
        <w:rPr>
          <w:rFonts w:ascii="Arial" w:hAnsi="Arial"/>
          <w:smallCaps/>
          <w:highlight w:val="yellow"/>
          <w:u w:val="double"/>
          <w:lang w:val="en-US"/>
        </w:rPr>
        <w:t xml:space="preserve"> C., </w:t>
      </w:r>
      <w:proofErr w:type="spellStart"/>
      <w:r w:rsidRPr="00983005">
        <w:rPr>
          <w:rFonts w:ascii="Arial" w:hAnsi="Arial"/>
          <w:smallCaps/>
          <w:highlight w:val="yellow"/>
          <w:u w:val="double"/>
          <w:lang w:val="en-US"/>
        </w:rPr>
        <w:t>Ozin</w:t>
      </w:r>
      <w:proofErr w:type="spellEnd"/>
      <w:r w:rsidRPr="00983005">
        <w:rPr>
          <w:rFonts w:ascii="Arial" w:hAnsi="Arial"/>
          <w:smallCaps/>
          <w:highlight w:val="yellow"/>
          <w:u w:val="double"/>
          <w:lang w:val="en-US"/>
        </w:rPr>
        <w:t xml:space="preserve"> A., </w:t>
      </w:r>
      <w:proofErr w:type="spellStart"/>
      <w:r w:rsidRPr="00983005">
        <w:rPr>
          <w:rFonts w:ascii="Arial" w:hAnsi="Arial"/>
          <w:smallCaps/>
          <w:highlight w:val="yellow"/>
          <w:u w:val="double"/>
          <w:lang w:val="en-US"/>
        </w:rPr>
        <w:t>Tonello</w:t>
      </w:r>
      <w:proofErr w:type="spellEnd"/>
      <w:r w:rsidRPr="00983005">
        <w:rPr>
          <w:rFonts w:ascii="Arial" w:hAnsi="Arial"/>
          <w:smallCaps/>
          <w:highlight w:val="yellow"/>
          <w:u w:val="double"/>
          <w:lang w:val="en-US"/>
        </w:rPr>
        <w:t xml:space="preserve"> F. &amp; Kaufmann S.H.E.</w:t>
      </w:r>
      <w:r w:rsidRPr="00983005">
        <w:rPr>
          <w:rFonts w:ascii="Arial" w:hAnsi="Arial"/>
          <w:highlight w:val="yellow"/>
          <w:u w:val="double"/>
          <w:lang w:val="en-US"/>
        </w:rPr>
        <w:t xml:space="preserve"> (2007). </w:t>
      </w:r>
      <w:r w:rsidRPr="00983005">
        <w:rPr>
          <w:i/>
          <w:iCs/>
          <w:highlight w:val="yellow"/>
          <w:u w:val="double"/>
        </w:rPr>
        <w:t>Bacillus anthracis:</w:t>
      </w:r>
      <w:r w:rsidRPr="00983005">
        <w:rPr>
          <w:highlight w:val="yellow"/>
          <w:u w:val="double"/>
        </w:rPr>
        <w:t xml:space="preserve"> balancing innocent research with dual-use potential.</w:t>
      </w:r>
      <w:r w:rsidRPr="00983005">
        <w:rPr>
          <w:rFonts w:ascii="Arial" w:hAnsi="Arial"/>
          <w:i/>
          <w:iCs/>
          <w:highlight w:val="yellow"/>
          <w:u w:val="double"/>
          <w:lang w:val="en-US"/>
        </w:rPr>
        <w:t xml:space="preserve"> Int. J. Med. </w:t>
      </w:r>
      <w:proofErr w:type="spellStart"/>
      <w:r w:rsidRPr="00983005">
        <w:rPr>
          <w:rFonts w:ascii="Arial" w:hAnsi="Arial"/>
          <w:i/>
          <w:iCs/>
          <w:highlight w:val="yellow"/>
          <w:u w:val="double"/>
          <w:lang w:val="en-US"/>
        </w:rPr>
        <w:t>Microbiol</w:t>
      </w:r>
      <w:proofErr w:type="spellEnd"/>
      <w:r w:rsidRPr="00983005">
        <w:rPr>
          <w:rFonts w:ascii="Arial" w:hAnsi="Arial"/>
          <w:highlight w:val="yellow"/>
          <w:u w:val="double"/>
          <w:lang w:val="en-US"/>
        </w:rPr>
        <w:t xml:space="preserve">., </w:t>
      </w:r>
      <w:r w:rsidRPr="00983005">
        <w:rPr>
          <w:rFonts w:ascii="Arial" w:hAnsi="Arial"/>
          <w:b/>
          <w:bCs/>
          <w:highlight w:val="yellow"/>
          <w:u w:val="double"/>
          <w:lang w:val="en-US"/>
        </w:rPr>
        <w:t>298</w:t>
      </w:r>
      <w:r w:rsidRPr="00983005">
        <w:rPr>
          <w:rFonts w:ascii="Arial" w:hAnsi="Arial"/>
          <w:highlight w:val="yellow"/>
          <w:u w:val="double"/>
          <w:lang w:val="en-US"/>
        </w:rPr>
        <w:t>, 345–364.</w:t>
      </w:r>
    </w:p>
    <w:p w14:paraId="59B41A56" w14:textId="77777777" w:rsidR="00B40CBD" w:rsidRPr="00AA5E0A" w:rsidRDefault="00B40CBD" w:rsidP="00D63ACB">
      <w:pPr>
        <w:pStyle w:val="Ref"/>
        <w:spacing w:after="200"/>
        <w:rPr>
          <w:lang w:val="en-IE"/>
        </w:rPr>
      </w:pPr>
      <w:r w:rsidRPr="00AA5E0A">
        <w:rPr>
          <w:smallCaps/>
          <w:lang w:val="en-IE"/>
        </w:rPr>
        <w:t xml:space="preserve">Hutson R.A., </w:t>
      </w:r>
      <w:proofErr w:type="spellStart"/>
      <w:r w:rsidRPr="00AA5E0A">
        <w:rPr>
          <w:smallCaps/>
          <w:lang w:val="en-IE"/>
        </w:rPr>
        <w:t>Duggleby</w:t>
      </w:r>
      <w:proofErr w:type="spellEnd"/>
      <w:r w:rsidRPr="00AA5E0A">
        <w:rPr>
          <w:smallCaps/>
          <w:lang w:val="en-IE"/>
        </w:rPr>
        <w:t xml:space="preserve"> C.J., Lowe J.R., </w:t>
      </w:r>
      <w:proofErr w:type="spellStart"/>
      <w:r w:rsidRPr="00AA5E0A">
        <w:rPr>
          <w:smallCaps/>
          <w:lang w:val="en-IE"/>
        </w:rPr>
        <w:t>Manchee</w:t>
      </w:r>
      <w:proofErr w:type="spellEnd"/>
      <w:r w:rsidRPr="00AA5E0A">
        <w:rPr>
          <w:smallCaps/>
          <w:lang w:val="en-IE"/>
        </w:rPr>
        <w:t xml:space="preserve"> R.J. &amp; Turnbull P.C.B.</w:t>
      </w:r>
      <w:r w:rsidRPr="00AA5E0A">
        <w:rPr>
          <w:lang w:val="en-IE"/>
        </w:rPr>
        <w:t xml:space="preserve"> (1993). The development and assessment of DNA and oligonucleotide probes for the specific detection of </w:t>
      </w:r>
      <w:r w:rsidRPr="00AA5E0A">
        <w:rPr>
          <w:i/>
          <w:iCs/>
          <w:lang w:val="en-IE"/>
        </w:rPr>
        <w:t>Bacillus anthracis</w:t>
      </w:r>
      <w:r w:rsidRPr="00AA5E0A">
        <w:rPr>
          <w:lang w:val="en-IE"/>
        </w:rPr>
        <w:t xml:space="preserve">. </w:t>
      </w:r>
      <w:r w:rsidRPr="00AA5E0A">
        <w:rPr>
          <w:i/>
          <w:iCs/>
          <w:lang w:val="en-IE"/>
        </w:rPr>
        <w:t xml:space="preserve">J. Appl. </w:t>
      </w:r>
      <w:proofErr w:type="spellStart"/>
      <w:r w:rsidRPr="00AA5E0A">
        <w:rPr>
          <w:i/>
          <w:iCs/>
          <w:lang w:val="en-IE"/>
        </w:rPr>
        <w:t>Bacteriol</w:t>
      </w:r>
      <w:proofErr w:type="spellEnd"/>
      <w:r w:rsidRPr="00AA5E0A">
        <w:rPr>
          <w:i/>
          <w:iCs/>
          <w:lang w:val="en-IE"/>
        </w:rPr>
        <w:t>.,</w:t>
      </w:r>
      <w:r w:rsidR="00204E84" w:rsidRPr="00AA5E0A">
        <w:rPr>
          <w:i/>
          <w:iCs/>
          <w:lang w:val="en-IE"/>
        </w:rPr>
        <w:t xml:space="preserve"> </w:t>
      </w:r>
      <w:r w:rsidRPr="00AA5E0A">
        <w:rPr>
          <w:b/>
          <w:bCs/>
          <w:lang w:val="en-IE"/>
        </w:rPr>
        <w:t>75</w:t>
      </w:r>
      <w:r w:rsidRPr="00AA5E0A">
        <w:rPr>
          <w:lang w:val="en-IE"/>
        </w:rPr>
        <w:t>, 463–472.</w:t>
      </w:r>
    </w:p>
    <w:p w14:paraId="59B41A57" w14:textId="77777777" w:rsidR="005D62EF" w:rsidRPr="00AA5E0A" w:rsidRDefault="005D62EF" w:rsidP="00D63ACB">
      <w:pPr>
        <w:pStyle w:val="Ref"/>
        <w:spacing w:after="200"/>
        <w:rPr>
          <w:lang w:val="en-IE"/>
        </w:rPr>
      </w:pPr>
      <w:proofErr w:type="spellStart"/>
      <w:r w:rsidRPr="0008609F">
        <w:rPr>
          <w:lang w:val="en-IE"/>
        </w:rPr>
        <w:t>I</w:t>
      </w:r>
      <w:r w:rsidRPr="0008609F">
        <w:rPr>
          <w:smallCaps/>
          <w:lang w:val="en-IE"/>
        </w:rPr>
        <w:t>renge</w:t>
      </w:r>
      <w:proofErr w:type="spellEnd"/>
      <w:r w:rsidRPr="0008609F">
        <w:rPr>
          <w:lang w:val="en-IE"/>
        </w:rPr>
        <w:t xml:space="preserve"> L.M., D</w:t>
      </w:r>
      <w:r w:rsidRPr="0008609F">
        <w:rPr>
          <w:smallCaps/>
          <w:lang w:val="en-IE"/>
        </w:rPr>
        <w:t>urant</w:t>
      </w:r>
      <w:r w:rsidRPr="0008609F">
        <w:rPr>
          <w:lang w:val="en-IE"/>
        </w:rPr>
        <w:t xml:space="preserve"> J.-F., T</w:t>
      </w:r>
      <w:r w:rsidRPr="0008609F">
        <w:rPr>
          <w:smallCaps/>
          <w:lang w:val="en-IE"/>
        </w:rPr>
        <w:t>omaso</w:t>
      </w:r>
      <w:r w:rsidRPr="0008609F">
        <w:rPr>
          <w:lang w:val="en-IE"/>
        </w:rPr>
        <w:t xml:space="preserve"> H., </w:t>
      </w:r>
      <w:proofErr w:type="spellStart"/>
      <w:r w:rsidRPr="0008609F">
        <w:rPr>
          <w:lang w:val="en-IE"/>
        </w:rPr>
        <w:t>P</w:t>
      </w:r>
      <w:r w:rsidRPr="0008609F">
        <w:rPr>
          <w:smallCaps/>
          <w:lang w:val="en-IE"/>
        </w:rPr>
        <w:t>ilo</w:t>
      </w:r>
      <w:proofErr w:type="spellEnd"/>
      <w:r w:rsidRPr="0008609F">
        <w:rPr>
          <w:lang w:val="en-IE"/>
        </w:rPr>
        <w:t xml:space="preserve"> P., O</w:t>
      </w:r>
      <w:r w:rsidRPr="0008609F">
        <w:rPr>
          <w:smallCaps/>
          <w:lang w:val="en-IE"/>
        </w:rPr>
        <w:t>lsen</w:t>
      </w:r>
      <w:r w:rsidRPr="0008609F">
        <w:rPr>
          <w:lang w:val="en-IE"/>
        </w:rPr>
        <w:t xml:space="preserve"> J.S., </w:t>
      </w:r>
      <w:proofErr w:type="spellStart"/>
      <w:r w:rsidRPr="0008609F">
        <w:rPr>
          <w:lang w:val="en-IE"/>
        </w:rPr>
        <w:t>R</w:t>
      </w:r>
      <w:r w:rsidRPr="0008609F">
        <w:rPr>
          <w:smallCaps/>
          <w:lang w:val="en-IE"/>
        </w:rPr>
        <w:t>amisse</w:t>
      </w:r>
      <w:proofErr w:type="spellEnd"/>
      <w:r w:rsidRPr="0008609F">
        <w:rPr>
          <w:lang w:val="en-IE"/>
        </w:rPr>
        <w:t xml:space="preserve"> V., </w:t>
      </w:r>
      <w:proofErr w:type="spellStart"/>
      <w:r w:rsidRPr="0008609F">
        <w:rPr>
          <w:lang w:val="en-IE"/>
        </w:rPr>
        <w:t>M</w:t>
      </w:r>
      <w:r w:rsidRPr="0008609F">
        <w:rPr>
          <w:smallCaps/>
          <w:lang w:val="en-IE"/>
        </w:rPr>
        <w:t>ahillon</w:t>
      </w:r>
      <w:proofErr w:type="spellEnd"/>
      <w:r w:rsidRPr="0008609F">
        <w:rPr>
          <w:lang w:val="en-IE"/>
        </w:rPr>
        <w:t xml:space="preserve"> J. &amp; G</w:t>
      </w:r>
      <w:r w:rsidRPr="0008609F">
        <w:rPr>
          <w:smallCaps/>
          <w:lang w:val="en-IE"/>
        </w:rPr>
        <w:t>ala</w:t>
      </w:r>
      <w:r w:rsidRPr="0008609F">
        <w:rPr>
          <w:lang w:val="en-IE"/>
        </w:rPr>
        <w:t xml:space="preserve"> J.-L.</w:t>
      </w:r>
      <w:r w:rsidR="008601C2" w:rsidRPr="0008609F">
        <w:rPr>
          <w:lang w:val="en-IE"/>
        </w:rPr>
        <w:t xml:space="preserve"> </w:t>
      </w:r>
      <w:r w:rsidRPr="0008609F">
        <w:rPr>
          <w:lang w:val="en-IE"/>
        </w:rPr>
        <w:t>(2010).</w:t>
      </w:r>
      <w:r w:rsidR="008601C2" w:rsidRPr="0008609F">
        <w:rPr>
          <w:lang w:val="en-IE"/>
        </w:rPr>
        <w:t xml:space="preserve"> </w:t>
      </w:r>
      <w:r w:rsidRPr="00AA5E0A">
        <w:rPr>
          <w:lang w:val="en-IE"/>
        </w:rPr>
        <w:t>Development</w:t>
      </w:r>
      <w:r w:rsidR="008601C2" w:rsidRPr="00AA5E0A">
        <w:rPr>
          <w:lang w:val="en-IE"/>
        </w:rPr>
        <w:t xml:space="preserve"> </w:t>
      </w:r>
      <w:r w:rsidRPr="00AA5E0A">
        <w:rPr>
          <w:lang w:val="en-IE"/>
        </w:rPr>
        <w:t xml:space="preserve">and validation of a real-time quantitative PCR assay for rapid identification of </w:t>
      </w:r>
      <w:r w:rsidRPr="00AA5E0A">
        <w:rPr>
          <w:i/>
          <w:lang w:val="en-IE"/>
        </w:rPr>
        <w:t>Bacillus anthracis</w:t>
      </w:r>
      <w:r w:rsidRPr="00AA5E0A">
        <w:rPr>
          <w:lang w:val="en-IE"/>
        </w:rPr>
        <w:t xml:space="preserve"> in environmental samples.</w:t>
      </w:r>
      <w:r w:rsidR="008601C2" w:rsidRPr="00AA5E0A">
        <w:rPr>
          <w:lang w:val="en-IE"/>
        </w:rPr>
        <w:t xml:space="preserve"> </w:t>
      </w:r>
      <w:r w:rsidRPr="00AA5E0A">
        <w:rPr>
          <w:i/>
          <w:lang w:val="en-IE"/>
        </w:rPr>
        <w:t xml:space="preserve">Appl. </w:t>
      </w:r>
      <w:proofErr w:type="spellStart"/>
      <w:r w:rsidRPr="00AA5E0A">
        <w:rPr>
          <w:i/>
          <w:lang w:val="en-IE"/>
        </w:rPr>
        <w:t>Microbiol</w:t>
      </w:r>
      <w:proofErr w:type="spellEnd"/>
      <w:r w:rsidRPr="00AA5E0A">
        <w:rPr>
          <w:i/>
          <w:lang w:val="en-IE"/>
        </w:rPr>
        <w:t xml:space="preserve">. </w:t>
      </w:r>
      <w:proofErr w:type="spellStart"/>
      <w:r w:rsidRPr="00AA5E0A">
        <w:rPr>
          <w:i/>
          <w:lang w:val="en-IE"/>
        </w:rPr>
        <w:t>Biotechnol</w:t>
      </w:r>
      <w:proofErr w:type="spellEnd"/>
      <w:r w:rsidRPr="00AA5E0A">
        <w:rPr>
          <w:lang w:val="en-IE"/>
        </w:rPr>
        <w:t xml:space="preserve">., </w:t>
      </w:r>
      <w:r w:rsidRPr="00AA5E0A">
        <w:rPr>
          <w:b/>
          <w:lang w:val="en-IE"/>
        </w:rPr>
        <w:t>88</w:t>
      </w:r>
      <w:r w:rsidRPr="00AA5E0A">
        <w:rPr>
          <w:lang w:val="en-IE"/>
        </w:rPr>
        <w:t>, 1179</w:t>
      </w:r>
      <w:r w:rsidR="008601C2" w:rsidRPr="00AA5E0A">
        <w:rPr>
          <w:lang w:val="en-IE"/>
        </w:rPr>
        <w:t>–</w:t>
      </w:r>
      <w:r w:rsidRPr="00AA5E0A">
        <w:rPr>
          <w:lang w:val="en-IE"/>
        </w:rPr>
        <w:t>1192.</w:t>
      </w:r>
    </w:p>
    <w:p w14:paraId="59B41A58" w14:textId="77777777" w:rsidR="00B40CBD" w:rsidRPr="00AA5E0A" w:rsidRDefault="00B40CBD" w:rsidP="00D63ACB">
      <w:pPr>
        <w:pStyle w:val="Ref"/>
        <w:spacing w:after="200"/>
        <w:rPr>
          <w:lang w:val="en-IE"/>
        </w:rPr>
      </w:pPr>
      <w:r w:rsidRPr="00AA5E0A">
        <w:rPr>
          <w:smallCaps/>
          <w:lang w:val="en-IE"/>
        </w:rPr>
        <w:t xml:space="preserve">Jackson P.J., Hugh-Jones M.E., Adair D.M., Green G., Hill K.K., </w:t>
      </w:r>
      <w:proofErr w:type="spellStart"/>
      <w:r w:rsidRPr="00AA5E0A">
        <w:rPr>
          <w:smallCaps/>
          <w:lang w:val="en-IE"/>
        </w:rPr>
        <w:t>Kuske</w:t>
      </w:r>
      <w:proofErr w:type="spellEnd"/>
      <w:r w:rsidRPr="00AA5E0A">
        <w:rPr>
          <w:smallCaps/>
          <w:lang w:val="en-IE"/>
        </w:rPr>
        <w:t xml:space="preserve"> C.R., Grinberg L.M., Abramova F.A. &amp; </w:t>
      </w:r>
      <w:proofErr w:type="spellStart"/>
      <w:r w:rsidRPr="00AA5E0A">
        <w:rPr>
          <w:smallCaps/>
          <w:lang w:val="en-IE"/>
        </w:rPr>
        <w:t>Keim</w:t>
      </w:r>
      <w:proofErr w:type="spellEnd"/>
      <w:r w:rsidRPr="00AA5E0A">
        <w:rPr>
          <w:smallCaps/>
          <w:lang w:val="en-IE"/>
        </w:rPr>
        <w:t xml:space="preserve"> P.</w:t>
      </w:r>
      <w:r w:rsidRPr="00AA5E0A">
        <w:rPr>
          <w:lang w:val="en-IE"/>
        </w:rPr>
        <w:t xml:space="preserve"> (1998). PCR analysis of tissue samples from the 1979 Sverdlovsk anthrax victims: The presence of multiple </w:t>
      </w:r>
      <w:r w:rsidRPr="00AA5E0A">
        <w:rPr>
          <w:i/>
          <w:iCs/>
          <w:lang w:val="en-IE"/>
        </w:rPr>
        <w:t>Bacillus anthracis</w:t>
      </w:r>
      <w:r w:rsidRPr="00AA5E0A">
        <w:rPr>
          <w:lang w:val="en-IE"/>
        </w:rPr>
        <w:t xml:space="preserve"> strains in different victims. </w:t>
      </w:r>
      <w:r w:rsidRPr="00AA5E0A">
        <w:rPr>
          <w:i/>
          <w:iCs/>
          <w:lang w:val="en-IE"/>
        </w:rPr>
        <w:t>Proc. Natl Acad. Sci</w:t>
      </w:r>
      <w:r w:rsidRPr="00AA5E0A">
        <w:rPr>
          <w:lang w:val="en-IE"/>
        </w:rPr>
        <w:t xml:space="preserve">. </w:t>
      </w:r>
      <w:r w:rsidRPr="00AA5E0A">
        <w:rPr>
          <w:i/>
          <w:iCs/>
          <w:lang w:val="en-IE"/>
        </w:rPr>
        <w:t>USA</w:t>
      </w:r>
      <w:r w:rsidRPr="00AA5E0A">
        <w:rPr>
          <w:lang w:val="en-IE"/>
        </w:rPr>
        <w:t xml:space="preserve">, </w:t>
      </w:r>
      <w:r w:rsidRPr="00AA5E0A">
        <w:rPr>
          <w:b/>
          <w:bCs/>
          <w:lang w:val="en-IE"/>
        </w:rPr>
        <w:t>95</w:t>
      </w:r>
      <w:r w:rsidRPr="00AA5E0A">
        <w:rPr>
          <w:lang w:val="en-IE"/>
        </w:rPr>
        <w:t>, 1224–1229.</w:t>
      </w:r>
    </w:p>
    <w:p w14:paraId="4645378C" w14:textId="77777777" w:rsidR="00983005" w:rsidRDefault="00983005" w:rsidP="00983005">
      <w:pPr>
        <w:pStyle w:val="Ref"/>
        <w:rPr>
          <w:rFonts w:ascii="Arial" w:hAnsi="Arial"/>
          <w:smallCaps/>
          <w:highlight w:val="yellow"/>
          <w:u w:val="double"/>
          <w:lang w:val="en-US"/>
        </w:rPr>
      </w:pPr>
      <w:proofErr w:type="spellStart"/>
      <w:r w:rsidRPr="00AB46F7">
        <w:rPr>
          <w:rFonts w:ascii="Arial" w:eastAsia="MS Mincho" w:hAnsi="Arial"/>
          <w:smallCaps/>
          <w:highlight w:val="yellow"/>
          <w:u w:val="double"/>
          <w:lang w:val="en-IE"/>
        </w:rPr>
        <w:t>Keim</w:t>
      </w:r>
      <w:proofErr w:type="spellEnd"/>
      <w:r w:rsidRPr="00AB46F7">
        <w:rPr>
          <w:rFonts w:ascii="Arial" w:eastAsia="MS Mincho" w:hAnsi="Arial"/>
          <w:smallCaps/>
          <w:highlight w:val="yellow"/>
          <w:u w:val="double"/>
          <w:lang w:val="en-IE"/>
        </w:rPr>
        <w:t xml:space="preserve"> P., Price L.B., </w:t>
      </w:r>
      <w:proofErr w:type="spellStart"/>
      <w:r w:rsidRPr="00AB46F7">
        <w:rPr>
          <w:rFonts w:ascii="Arial" w:eastAsia="MS Mincho" w:hAnsi="Arial"/>
          <w:smallCaps/>
          <w:highlight w:val="yellow"/>
          <w:u w:val="double"/>
          <w:lang w:val="en-IE"/>
        </w:rPr>
        <w:t>Klevytska</w:t>
      </w:r>
      <w:proofErr w:type="spellEnd"/>
      <w:r w:rsidRPr="00AB46F7">
        <w:rPr>
          <w:rFonts w:ascii="Arial" w:eastAsia="MS Mincho" w:hAnsi="Arial"/>
          <w:smallCaps/>
          <w:highlight w:val="yellow"/>
          <w:u w:val="double"/>
          <w:lang w:val="en-IE"/>
        </w:rPr>
        <w:t xml:space="preserve"> A.M., Smith K.L., Schupp J.M., </w:t>
      </w:r>
      <w:proofErr w:type="spellStart"/>
      <w:r w:rsidRPr="00AB46F7">
        <w:rPr>
          <w:rFonts w:ascii="Arial" w:eastAsia="MS Mincho" w:hAnsi="Arial"/>
          <w:smallCaps/>
          <w:highlight w:val="yellow"/>
          <w:u w:val="double"/>
          <w:lang w:val="en-IE"/>
        </w:rPr>
        <w:t>Okinaka</w:t>
      </w:r>
      <w:proofErr w:type="spellEnd"/>
      <w:r w:rsidRPr="00AB46F7">
        <w:rPr>
          <w:rFonts w:ascii="Arial" w:eastAsia="MS Mincho" w:hAnsi="Arial"/>
          <w:smallCaps/>
          <w:highlight w:val="yellow"/>
          <w:u w:val="double"/>
          <w:lang w:val="en-IE"/>
        </w:rPr>
        <w:t xml:space="preserve"> R., et al. (2000).</w:t>
      </w:r>
      <w:r w:rsidRPr="00AB46F7">
        <w:rPr>
          <w:rFonts w:ascii="Arial" w:eastAsia="MS Mincho" w:hAnsi="Arial"/>
          <w:highlight w:val="yellow"/>
          <w:u w:val="double"/>
          <w:lang w:val="en-IE"/>
        </w:rPr>
        <w:t xml:space="preserve"> Multiple-locus variable-number tandem repeat analysis reveals genetic relationships within </w:t>
      </w:r>
      <w:r w:rsidRPr="00AB46F7">
        <w:rPr>
          <w:rFonts w:ascii="Arial" w:eastAsia="MS Mincho" w:hAnsi="Arial"/>
          <w:i/>
          <w:highlight w:val="yellow"/>
          <w:u w:val="double"/>
          <w:lang w:val="en-IE"/>
        </w:rPr>
        <w:t>Bacillus</w:t>
      </w:r>
      <w:r w:rsidRPr="00AB46F7">
        <w:rPr>
          <w:rFonts w:ascii="Arial" w:eastAsia="MS Mincho" w:hAnsi="Arial"/>
          <w:highlight w:val="yellow"/>
          <w:u w:val="double"/>
          <w:lang w:val="en-IE"/>
        </w:rPr>
        <w:t xml:space="preserve"> </w:t>
      </w:r>
      <w:r w:rsidRPr="00AB46F7">
        <w:rPr>
          <w:rFonts w:ascii="Arial" w:eastAsia="MS Mincho" w:hAnsi="Arial"/>
          <w:i/>
          <w:highlight w:val="yellow"/>
          <w:u w:val="double"/>
          <w:lang w:val="en-IE"/>
        </w:rPr>
        <w:t>anthracis</w:t>
      </w:r>
      <w:r w:rsidRPr="00AB46F7">
        <w:rPr>
          <w:rFonts w:ascii="Arial" w:eastAsia="MS Mincho" w:hAnsi="Arial"/>
          <w:highlight w:val="yellow"/>
          <w:u w:val="double"/>
          <w:lang w:val="en-IE"/>
        </w:rPr>
        <w:t xml:space="preserve">. </w:t>
      </w:r>
      <w:r w:rsidRPr="00AB46F7">
        <w:rPr>
          <w:rFonts w:ascii="Arial" w:eastAsia="MS Mincho" w:hAnsi="Arial"/>
          <w:i/>
          <w:highlight w:val="yellow"/>
          <w:u w:val="double"/>
          <w:lang w:val="en-IE"/>
        </w:rPr>
        <w:t>J</w:t>
      </w:r>
      <w:r>
        <w:rPr>
          <w:rFonts w:ascii="Arial" w:eastAsia="MS Mincho" w:hAnsi="Arial"/>
          <w:i/>
          <w:highlight w:val="yellow"/>
          <w:u w:val="double"/>
          <w:lang w:val="en-IE"/>
        </w:rPr>
        <w:t>.</w:t>
      </w:r>
      <w:r w:rsidRPr="00AB46F7">
        <w:rPr>
          <w:rFonts w:ascii="Arial" w:eastAsia="MS Mincho" w:hAnsi="Arial"/>
          <w:i/>
          <w:highlight w:val="yellow"/>
          <w:u w:val="double"/>
          <w:lang w:val="en-IE"/>
        </w:rPr>
        <w:t xml:space="preserve"> </w:t>
      </w:r>
      <w:proofErr w:type="spellStart"/>
      <w:r w:rsidRPr="00AB46F7">
        <w:rPr>
          <w:rFonts w:ascii="Arial" w:eastAsia="MS Mincho" w:hAnsi="Arial"/>
          <w:i/>
          <w:highlight w:val="yellow"/>
          <w:u w:val="double"/>
          <w:lang w:val="en-IE"/>
        </w:rPr>
        <w:t>Bacteriol</w:t>
      </w:r>
      <w:proofErr w:type="spellEnd"/>
      <w:r>
        <w:rPr>
          <w:rFonts w:ascii="Arial" w:eastAsia="MS Mincho" w:hAnsi="Arial"/>
          <w:i/>
          <w:highlight w:val="yellow"/>
          <w:u w:val="double"/>
          <w:lang w:val="en-IE"/>
        </w:rPr>
        <w:t>.</w:t>
      </w:r>
      <w:r w:rsidRPr="00AB46F7">
        <w:rPr>
          <w:rFonts w:ascii="Arial" w:eastAsia="MS Mincho" w:hAnsi="Arial"/>
          <w:highlight w:val="yellow"/>
          <w:u w:val="double"/>
          <w:lang w:val="en-IE"/>
        </w:rPr>
        <w:t xml:space="preserve">, </w:t>
      </w:r>
      <w:r w:rsidRPr="00AB46F7">
        <w:rPr>
          <w:rFonts w:ascii="Arial" w:eastAsia="MS Mincho" w:hAnsi="Arial"/>
          <w:b/>
          <w:highlight w:val="yellow"/>
          <w:u w:val="double"/>
          <w:lang w:val="en-IE"/>
        </w:rPr>
        <w:t>182</w:t>
      </w:r>
      <w:r w:rsidRPr="00AB46F7">
        <w:rPr>
          <w:rFonts w:ascii="Arial" w:eastAsia="MS Mincho" w:hAnsi="Arial"/>
          <w:highlight w:val="yellow"/>
          <w:u w:val="double"/>
          <w:lang w:val="en-IE"/>
        </w:rPr>
        <w:t>, 2928–</w:t>
      </w:r>
      <w:r>
        <w:rPr>
          <w:rFonts w:ascii="Arial" w:eastAsia="MS Mincho" w:hAnsi="Arial"/>
          <w:highlight w:val="yellow"/>
          <w:u w:val="double"/>
          <w:lang w:val="en-IE"/>
        </w:rPr>
        <w:t>19</w:t>
      </w:r>
      <w:r w:rsidRPr="00AB46F7">
        <w:rPr>
          <w:rFonts w:ascii="Arial" w:eastAsia="MS Mincho" w:hAnsi="Arial"/>
          <w:highlight w:val="yellow"/>
          <w:u w:val="double"/>
          <w:lang w:val="en-IE"/>
        </w:rPr>
        <w:t>36.</w:t>
      </w:r>
    </w:p>
    <w:p w14:paraId="59B41A59" w14:textId="77777777" w:rsidR="00B40CBD" w:rsidRPr="006E0609" w:rsidRDefault="00B40CBD" w:rsidP="00D63ACB">
      <w:pPr>
        <w:pStyle w:val="Ref"/>
        <w:spacing w:after="200"/>
      </w:pPr>
      <w:proofErr w:type="spellStart"/>
      <w:r w:rsidRPr="00AA5E0A">
        <w:rPr>
          <w:smallCaps/>
          <w:lang w:val="en-IE"/>
        </w:rPr>
        <w:t>Knisely</w:t>
      </w:r>
      <w:proofErr w:type="spellEnd"/>
      <w:r w:rsidRPr="00AA5E0A">
        <w:rPr>
          <w:smallCaps/>
          <w:lang w:val="en-IE"/>
        </w:rPr>
        <w:t xml:space="preserve"> R.F. </w:t>
      </w:r>
      <w:r w:rsidRPr="00AA5E0A">
        <w:rPr>
          <w:lang w:val="en-IE"/>
        </w:rPr>
        <w:t xml:space="preserve">(1966). Selective medium for </w:t>
      </w:r>
      <w:r w:rsidRPr="00AA5E0A">
        <w:rPr>
          <w:i/>
          <w:iCs/>
          <w:lang w:val="en-IE"/>
        </w:rPr>
        <w:t>Bacillus anthracis</w:t>
      </w:r>
      <w:r w:rsidRPr="00AA5E0A">
        <w:rPr>
          <w:lang w:val="en-IE"/>
        </w:rPr>
        <w:t xml:space="preserve">. </w:t>
      </w:r>
      <w:r w:rsidRPr="006E0609">
        <w:rPr>
          <w:i/>
          <w:iCs/>
        </w:rPr>
        <w:t xml:space="preserve">J. </w:t>
      </w:r>
      <w:proofErr w:type="spellStart"/>
      <w:r w:rsidRPr="006E0609">
        <w:rPr>
          <w:i/>
          <w:iCs/>
        </w:rPr>
        <w:t>Bacteriol</w:t>
      </w:r>
      <w:proofErr w:type="spellEnd"/>
      <w:r w:rsidRPr="006E0609">
        <w:t xml:space="preserve">., </w:t>
      </w:r>
      <w:r w:rsidRPr="006E0609">
        <w:rPr>
          <w:b/>
          <w:bCs/>
        </w:rPr>
        <w:t>92</w:t>
      </w:r>
      <w:r w:rsidRPr="006E0609">
        <w:t>, 784–786.</w:t>
      </w:r>
    </w:p>
    <w:p w14:paraId="59B41A5A" w14:textId="230E3BD7" w:rsidR="00B40CBD" w:rsidRPr="00AA5E0A" w:rsidRDefault="00B40CBD" w:rsidP="00D63ACB">
      <w:pPr>
        <w:pStyle w:val="Ref"/>
        <w:spacing w:after="200"/>
        <w:rPr>
          <w:lang w:val="en-IE"/>
        </w:rPr>
      </w:pPr>
      <w:proofErr w:type="spellStart"/>
      <w:r w:rsidRPr="006E0609">
        <w:rPr>
          <w:smallCaps/>
        </w:rPr>
        <w:t>Misra</w:t>
      </w:r>
      <w:proofErr w:type="spellEnd"/>
      <w:r w:rsidRPr="006E0609">
        <w:rPr>
          <w:smallCaps/>
        </w:rPr>
        <w:t xml:space="preserve"> R.P. (</w:t>
      </w:r>
      <w:r w:rsidRPr="006E0609">
        <w:t xml:space="preserve">1991). </w:t>
      </w:r>
      <w:r w:rsidRPr="00AA5E0A">
        <w:rPr>
          <w:lang w:val="en-IE"/>
        </w:rPr>
        <w:t>Manual for the Production of Anthrax and Blackleg Vaccines. Food and Agriculture Organisation of the United Nations (FAO) Animal Production and Health Paper 87, FAO, Rome, Italy.</w:t>
      </w:r>
    </w:p>
    <w:p w14:paraId="741A5988" w14:textId="75E64C76" w:rsidR="003B2145" w:rsidRPr="00AA5E0A" w:rsidRDefault="003B2145" w:rsidP="00D63ACB">
      <w:pPr>
        <w:pStyle w:val="Ref"/>
        <w:spacing w:after="200"/>
        <w:rPr>
          <w:u w:val="double"/>
          <w:lang w:val="en-IE"/>
        </w:rPr>
      </w:pPr>
      <w:r w:rsidRPr="00AA5E0A">
        <w:rPr>
          <w:smallCaps/>
          <w:u w:val="double"/>
          <w:lang w:val="en-US"/>
        </w:rPr>
        <w:t xml:space="preserve">Owen M.P., </w:t>
      </w:r>
      <w:proofErr w:type="spellStart"/>
      <w:r w:rsidRPr="00AA5E0A">
        <w:rPr>
          <w:smallCaps/>
          <w:u w:val="double"/>
          <w:lang w:val="en-US"/>
        </w:rPr>
        <w:t>Schauwers</w:t>
      </w:r>
      <w:proofErr w:type="spellEnd"/>
      <w:r w:rsidRPr="00AA5E0A">
        <w:rPr>
          <w:smallCaps/>
          <w:u w:val="double"/>
          <w:lang w:val="en-US"/>
        </w:rPr>
        <w:t xml:space="preserve"> W., Hugh-Jones M.E., Kiernan J.A., Turnbull P.C.B.</w:t>
      </w:r>
      <w:r w:rsidR="00371520" w:rsidRPr="00AA5E0A">
        <w:rPr>
          <w:smallCaps/>
          <w:u w:val="double"/>
          <w:lang w:val="en-US"/>
        </w:rPr>
        <w:t xml:space="preserve"> </w:t>
      </w:r>
      <w:r w:rsidRPr="00AA5E0A">
        <w:rPr>
          <w:smallCaps/>
          <w:u w:val="double"/>
          <w:lang w:val="en-US"/>
        </w:rPr>
        <w:t>&amp; Beyer W.</w:t>
      </w:r>
      <w:r w:rsidRPr="00AA5E0A">
        <w:rPr>
          <w:u w:val="double"/>
          <w:lang w:val="en-US"/>
        </w:rPr>
        <w:t xml:space="preserve"> (2013). A simple, reliable </w:t>
      </w:r>
      <w:proofErr w:type="spellStart"/>
      <w:r w:rsidRPr="00AA5E0A">
        <w:rPr>
          <w:u w:val="double"/>
          <w:lang w:val="en-US"/>
        </w:rPr>
        <w:t>M’Fadyean</w:t>
      </w:r>
      <w:proofErr w:type="spellEnd"/>
      <w:r w:rsidRPr="00AA5E0A">
        <w:rPr>
          <w:u w:val="double"/>
          <w:lang w:val="en-US"/>
        </w:rPr>
        <w:t xml:space="preserve"> stain for visualizing the </w:t>
      </w:r>
      <w:r w:rsidRPr="00AA5E0A">
        <w:rPr>
          <w:i/>
          <w:iCs/>
          <w:u w:val="double"/>
          <w:lang w:val="en-US"/>
        </w:rPr>
        <w:t>Bacillus anthracis</w:t>
      </w:r>
      <w:r w:rsidRPr="00AA5E0A">
        <w:rPr>
          <w:u w:val="double"/>
          <w:lang w:val="en-US"/>
        </w:rPr>
        <w:t xml:space="preserve"> capsule.</w:t>
      </w:r>
      <w:r w:rsidRPr="00AA5E0A">
        <w:rPr>
          <w:u w:val="double"/>
        </w:rPr>
        <w:t xml:space="preserve"> </w:t>
      </w:r>
      <w:r w:rsidRPr="00AA5E0A">
        <w:rPr>
          <w:i/>
          <w:iCs/>
          <w:u w:val="double"/>
          <w:lang w:val="en-US"/>
        </w:rPr>
        <w:t xml:space="preserve">J. </w:t>
      </w:r>
      <w:proofErr w:type="spellStart"/>
      <w:r w:rsidRPr="00AA5E0A">
        <w:rPr>
          <w:i/>
          <w:iCs/>
          <w:u w:val="double"/>
          <w:lang w:val="en-US"/>
        </w:rPr>
        <w:t>Microbiol</w:t>
      </w:r>
      <w:proofErr w:type="spellEnd"/>
      <w:r w:rsidRPr="00AA5E0A">
        <w:rPr>
          <w:i/>
          <w:iCs/>
          <w:u w:val="double"/>
          <w:lang w:val="en-US"/>
        </w:rPr>
        <w:t>. Methods</w:t>
      </w:r>
      <w:r w:rsidRPr="00AA5E0A">
        <w:rPr>
          <w:u w:val="double"/>
          <w:lang w:val="en-US"/>
        </w:rPr>
        <w:t xml:space="preserve">, </w:t>
      </w:r>
      <w:r w:rsidRPr="00AA5E0A">
        <w:rPr>
          <w:b/>
          <w:bCs/>
          <w:u w:val="double"/>
          <w:lang w:val="en-US"/>
        </w:rPr>
        <w:t>92</w:t>
      </w:r>
      <w:r w:rsidRPr="00AA5E0A">
        <w:rPr>
          <w:u w:val="double"/>
          <w:lang w:val="en-US"/>
        </w:rPr>
        <w:t>, 264–269.</w:t>
      </w:r>
    </w:p>
    <w:p w14:paraId="59B41A5B" w14:textId="77777777" w:rsidR="005D62EF" w:rsidRPr="00AA5E0A" w:rsidRDefault="005D62EF" w:rsidP="00D63ACB">
      <w:pPr>
        <w:pStyle w:val="Ref"/>
        <w:spacing w:after="200"/>
        <w:rPr>
          <w:lang w:val="en-IE"/>
        </w:rPr>
      </w:pPr>
      <w:r w:rsidRPr="00AA5E0A">
        <w:rPr>
          <w:lang w:val="en-IE"/>
        </w:rPr>
        <w:t>Q</w:t>
      </w:r>
      <w:r w:rsidRPr="00AA5E0A">
        <w:rPr>
          <w:smallCaps/>
          <w:lang w:val="en-IE"/>
        </w:rPr>
        <w:t>i</w:t>
      </w:r>
      <w:r w:rsidRPr="00AA5E0A">
        <w:rPr>
          <w:lang w:val="en-IE"/>
        </w:rPr>
        <w:t xml:space="preserve"> Y., P</w:t>
      </w:r>
      <w:r w:rsidRPr="00AA5E0A">
        <w:rPr>
          <w:smallCaps/>
          <w:lang w:val="en-IE"/>
        </w:rPr>
        <w:t>atra</w:t>
      </w:r>
      <w:r w:rsidRPr="00AA5E0A">
        <w:rPr>
          <w:lang w:val="en-IE"/>
        </w:rPr>
        <w:t xml:space="preserve"> G., L</w:t>
      </w:r>
      <w:r w:rsidRPr="00AA5E0A">
        <w:rPr>
          <w:smallCaps/>
          <w:lang w:val="en-IE"/>
        </w:rPr>
        <w:t>iang</w:t>
      </w:r>
      <w:r w:rsidRPr="00AA5E0A">
        <w:rPr>
          <w:lang w:val="en-IE"/>
        </w:rPr>
        <w:t xml:space="preserve"> X., W</w:t>
      </w:r>
      <w:r w:rsidRPr="00AA5E0A">
        <w:rPr>
          <w:smallCaps/>
          <w:lang w:val="en-IE"/>
        </w:rPr>
        <w:t>illiams</w:t>
      </w:r>
      <w:r w:rsidRPr="00AA5E0A">
        <w:rPr>
          <w:lang w:val="en-IE"/>
        </w:rPr>
        <w:t xml:space="preserve"> L.E., R</w:t>
      </w:r>
      <w:r w:rsidRPr="00AA5E0A">
        <w:rPr>
          <w:smallCaps/>
          <w:lang w:val="en-IE"/>
        </w:rPr>
        <w:t>ose</w:t>
      </w:r>
      <w:r w:rsidRPr="00AA5E0A">
        <w:rPr>
          <w:lang w:val="en-IE"/>
        </w:rPr>
        <w:t xml:space="preserve"> S., </w:t>
      </w:r>
      <w:proofErr w:type="spellStart"/>
      <w:r w:rsidRPr="00AA5E0A">
        <w:rPr>
          <w:lang w:val="en-IE"/>
        </w:rPr>
        <w:t>R</w:t>
      </w:r>
      <w:r w:rsidRPr="00AA5E0A">
        <w:rPr>
          <w:smallCaps/>
          <w:lang w:val="en-IE"/>
        </w:rPr>
        <w:t>edkar</w:t>
      </w:r>
      <w:proofErr w:type="spellEnd"/>
      <w:r w:rsidRPr="00AA5E0A">
        <w:rPr>
          <w:lang w:val="en-IE"/>
        </w:rPr>
        <w:t xml:space="preserve"> R.J. &amp; </w:t>
      </w:r>
      <w:proofErr w:type="spellStart"/>
      <w:r w:rsidRPr="00AA5E0A">
        <w:rPr>
          <w:lang w:val="en-IE"/>
        </w:rPr>
        <w:t>D</w:t>
      </w:r>
      <w:r w:rsidRPr="00AA5E0A">
        <w:rPr>
          <w:smallCaps/>
          <w:lang w:val="en-IE"/>
        </w:rPr>
        <w:t>el</w:t>
      </w:r>
      <w:r w:rsidR="0037394E" w:rsidRPr="00AA5E0A">
        <w:rPr>
          <w:smallCaps/>
          <w:lang w:val="en-IE"/>
        </w:rPr>
        <w:t>V</w:t>
      </w:r>
      <w:r w:rsidRPr="00AA5E0A">
        <w:rPr>
          <w:smallCaps/>
          <w:lang w:val="en-IE"/>
        </w:rPr>
        <w:t>ecchio</w:t>
      </w:r>
      <w:proofErr w:type="spellEnd"/>
      <w:r w:rsidRPr="00AA5E0A">
        <w:rPr>
          <w:lang w:val="en-IE"/>
        </w:rPr>
        <w:t xml:space="preserve"> V.G. (2001).</w:t>
      </w:r>
      <w:r w:rsidR="008601C2" w:rsidRPr="00AA5E0A">
        <w:rPr>
          <w:lang w:val="en-IE"/>
        </w:rPr>
        <w:t xml:space="preserve"> </w:t>
      </w:r>
      <w:r w:rsidRPr="00AA5E0A">
        <w:rPr>
          <w:lang w:val="en-IE"/>
        </w:rPr>
        <w:t xml:space="preserve">Utilization of the </w:t>
      </w:r>
      <w:proofErr w:type="spellStart"/>
      <w:r w:rsidRPr="00AA5E0A">
        <w:rPr>
          <w:lang w:val="en-IE"/>
        </w:rPr>
        <w:t>rpoB</w:t>
      </w:r>
      <w:proofErr w:type="spellEnd"/>
      <w:r w:rsidRPr="00AA5E0A">
        <w:rPr>
          <w:lang w:val="en-IE"/>
        </w:rPr>
        <w:t xml:space="preserve"> gene as a specific chromosomal marker for real-time PCR detection of </w:t>
      </w:r>
      <w:r w:rsidRPr="00AA5E0A">
        <w:rPr>
          <w:i/>
          <w:lang w:val="en-IE"/>
        </w:rPr>
        <w:t>Bacillus anthracis</w:t>
      </w:r>
      <w:r w:rsidRPr="00AA5E0A">
        <w:rPr>
          <w:lang w:val="en-IE"/>
        </w:rPr>
        <w:t>.</w:t>
      </w:r>
      <w:r w:rsidR="008601C2" w:rsidRPr="00AA5E0A">
        <w:rPr>
          <w:lang w:val="en-IE"/>
        </w:rPr>
        <w:t xml:space="preserve"> </w:t>
      </w:r>
      <w:r w:rsidRPr="00AA5E0A">
        <w:rPr>
          <w:i/>
          <w:lang w:val="en-IE"/>
        </w:rPr>
        <w:t xml:space="preserve">Appl. Environ. </w:t>
      </w:r>
      <w:proofErr w:type="spellStart"/>
      <w:r w:rsidRPr="00AA5E0A">
        <w:rPr>
          <w:i/>
          <w:lang w:val="en-IE"/>
        </w:rPr>
        <w:t>Microbiol</w:t>
      </w:r>
      <w:proofErr w:type="spellEnd"/>
      <w:r w:rsidRPr="00AA5E0A">
        <w:rPr>
          <w:lang w:val="en-IE"/>
        </w:rPr>
        <w:t xml:space="preserve">., </w:t>
      </w:r>
      <w:r w:rsidRPr="00AA5E0A">
        <w:rPr>
          <w:b/>
          <w:lang w:val="en-IE"/>
        </w:rPr>
        <w:t>67</w:t>
      </w:r>
      <w:r w:rsidRPr="00AA5E0A">
        <w:rPr>
          <w:lang w:val="en-IE"/>
        </w:rPr>
        <w:t>, 3720</w:t>
      </w:r>
      <w:r w:rsidR="008601C2" w:rsidRPr="00AA5E0A">
        <w:rPr>
          <w:lang w:val="en-IE"/>
        </w:rPr>
        <w:t>–</w:t>
      </w:r>
      <w:r w:rsidRPr="00AA5E0A">
        <w:rPr>
          <w:lang w:val="en-IE"/>
        </w:rPr>
        <w:t>3727.</w:t>
      </w:r>
    </w:p>
    <w:p w14:paraId="59B41A5C" w14:textId="77777777" w:rsidR="005D62EF" w:rsidRPr="006E0609" w:rsidRDefault="005D62EF" w:rsidP="00D63ACB">
      <w:pPr>
        <w:pStyle w:val="Ref"/>
        <w:spacing w:after="200"/>
      </w:pPr>
      <w:r w:rsidRPr="00AA5E0A">
        <w:rPr>
          <w:lang w:val="en-IE"/>
        </w:rPr>
        <w:t>R</w:t>
      </w:r>
      <w:r w:rsidRPr="00AA5E0A">
        <w:rPr>
          <w:smallCaps/>
          <w:lang w:val="en-IE"/>
        </w:rPr>
        <w:t>ao</w:t>
      </w:r>
      <w:r w:rsidRPr="00AA5E0A">
        <w:rPr>
          <w:lang w:val="en-IE"/>
        </w:rPr>
        <w:t xml:space="preserve"> S.S., M</w:t>
      </w:r>
      <w:r w:rsidRPr="00AA5E0A">
        <w:rPr>
          <w:smallCaps/>
          <w:lang w:val="en-IE"/>
        </w:rPr>
        <w:t>ohan</w:t>
      </w:r>
      <w:r w:rsidRPr="00AA5E0A">
        <w:rPr>
          <w:lang w:val="en-IE"/>
        </w:rPr>
        <w:t xml:space="preserve"> K.V.K. &amp; </w:t>
      </w:r>
      <w:proofErr w:type="spellStart"/>
      <w:r w:rsidRPr="00AA5E0A">
        <w:rPr>
          <w:lang w:val="en-IE"/>
        </w:rPr>
        <w:t>A</w:t>
      </w:r>
      <w:r w:rsidRPr="00AA5E0A">
        <w:rPr>
          <w:smallCaps/>
          <w:lang w:val="en-IE"/>
        </w:rPr>
        <w:t>treya</w:t>
      </w:r>
      <w:proofErr w:type="spellEnd"/>
      <w:r w:rsidRPr="00AA5E0A">
        <w:rPr>
          <w:lang w:val="en-IE"/>
        </w:rPr>
        <w:t xml:space="preserve"> C.D.</w:t>
      </w:r>
      <w:r w:rsidR="008601C2" w:rsidRPr="00AA5E0A">
        <w:rPr>
          <w:lang w:val="en-IE"/>
        </w:rPr>
        <w:t xml:space="preserve"> </w:t>
      </w:r>
      <w:r w:rsidRPr="00AA5E0A">
        <w:rPr>
          <w:lang w:val="en-IE"/>
        </w:rPr>
        <w:t xml:space="preserve">(2010). Detection technologies for </w:t>
      </w:r>
      <w:r w:rsidRPr="00AA5E0A">
        <w:rPr>
          <w:i/>
          <w:lang w:val="en-IE"/>
        </w:rPr>
        <w:t>Bacillus anthracis</w:t>
      </w:r>
      <w:r w:rsidRPr="00AA5E0A">
        <w:rPr>
          <w:lang w:val="en-IE"/>
        </w:rPr>
        <w:t>: prospects and challenges.</w:t>
      </w:r>
      <w:r w:rsidR="008601C2" w:rsidRPr="00AA5E0A">
        <w:rPr>
          <w:lang w:val="en-IE"/>
        </w:rPr>
        <w:t xml:space="preserve"> </w:t>
      </w:r>
      <w:r w:rsidRPr="006E0609">
        <w:rPr>
          <w:i/>
        </w:rPr>
        <w:t xml:space="preserve">J. </w:t>
      </w:r>
      <w:proofErr w:type="spellStart"/>
      <w:r w:rsidRPr="006E0609">
        <w:rPr>
          <w:i/>
        </w:rPr>
        <w:t>Microbiol</w:t>
      </w:r>
      <w:proofErr w:type="spellEnd"/>
      <w:r w:rsidRPr="006E0609">
        <w:rPr>
          <w:i/>
        </w:rPr>
        <w:t>. Methods</w:t>
      </w:r>
      <w:r w:rsidRPr="006E0609">
        <w:t xml:space="preserve">, </w:t>
      </w:r>
      <w:r w:rsidRPr="006E0609">
        <w:rPr>
          <w:b/>
        </w:rPr>
        <w:t>82</w:t>
      </w:r>
      <w:r w:rsidRPr="006E0609">
        <w:t>, 1</w:t>
      </w:r>
      <w:r w:rsidR="008601C2" w:rsidRPr="006E0609">
        <w:t>–</w:t>
      </w:r>
      <w:r w:rsidRPr="006E0609">
        <w:t>10.</w:t>
      </w:r>
    </w:p>
    <w:p w14:paraId="59B41A5D" w14:textId="77777777" w:rsidR="00B40CBD" w:rsidRPr="00AA5E0A" w:rsidRDefault="00B40CBD" w:rsidP="00D63ACB">
      <w:pPr>
        <w:pStyle w:val="Ref"/>
        <w:spacing w:after="200"/>
        <w:rPr>
          <w:lang w:val="en-IE"/>
        </w:rPr>
      </w:pPr>
      <w:proofErr w:type="spellStart"/>
      <w:r w:rsidRPr="006E0609">
        <w:rPr>
          <w:smallCaps/>
        </w:rPr>
        <w:t>Ramisse</w:t>
      </w:r>
      <w:proofErr w:type="spellEnd"/>
      <w:r w:rsidRPr="006E0609">
        <w:rPr>
          <w:smallCaps/>
        </w:rPr>
        <w:t xml:space="preserve"> V., Patra G., Garrigue H., </w:t>
      </w:r>
      <w:proofErr w:type="spellStart"/>
      <w:r w:rsidRPr="006E0609">
        <w:rPr>
          <w:smallCaps/>
        </w:rPr>
        <w:t>Guesdon</w:t>
      </w:r>
      <w:proofErr w:type="spellEnd"/>
      <w:r w:rsidRPr="006E0609">
        <w:rPr>
          <w:smallCaps/>
        </w:rPr>
        <w:t xml:space="preserve"> J.L. &amp; Mock M.</w:t>
      </w:r>
      <w:r w:rsidRPr="006E0609">
        <w:t xml:space="preserve"> (1996). </w:t>
      </w:r>
      <w:r w:rsidRPr="00AA5E0A">
        <w:rPr>
          <w:lang w:val="en-IE"/>
        </w:rPr>
        <w:t xml:space="preserve">Identification and characterization of </w:t>
      </w:r>
      <w:r w:rsidRPr="00AA5E0A">
        <w:rPr>
          <w:i/>
          <w:iCs/>
          <w:lang w:val="en-IE"/>
        </w:rPr>
        <w:t>Bacillus anthracis</w:t>
      </w:r>
      <w:r w:rsidRPr="00AA5E0A">
        <w:rPr>
          <w:lang w:val="en-IE"/>
        </w:rPr>
        <w:t xml:space="preserve"> by multiplex PCR analysis of sequences on plasmids pXO1 and pXO2 and chromosomal DNA. </w:t>
      </w:r>
      <w:r w:rsidRPr="00AA5E0A">
        <w:rPr>
          <w:i/>
          <w:iCs/>
          <w:lang w:val="en-IE"/>
        </w:rPr>
        <w:t xml:space="preserve">FEMS </w:t>
      </w:r>
      <w:proofErr w:type="spellStart"/>
      <w:r w:rsidRPr="00AA5E0A">
        <w:rPr>
          <w:i/>
          <w:iCs/>
          <w:lang w:val="en-IE"/>
        </w:rPr>
        <w:t>Microbiol</w:t>
      </w:r>
      <w:proofErr w:type="spellEnd"/>
      <w:r w:rsidRPr="00AA5E0A">
        <w:rPr>
          <w:i/>
          <w:iCs/>
          <w:lang w:val="en-IE"/>
        </w:rPr>
        <w:t>. Lett.</w:t>
      </w:r>
      <w:r w:rsidRPr="00AA5E0A">
        <w:rPr>
          <w:lang w:val="en-IE"/>
        </w:rPr>
        <w:t xml:space="preserve">, </w:t>
      </w:r>
      <w:r w:rsidRPr="00AA5E0A">
        <w:rPr>
          <w:b/>
          <w:bCs/>
          <w:lang w:val="en-IE"/>
        </w:rPr>
        <w:t>145</w:t>
      </w:r>
      <w:r w:rsidRPr="00AA5E0A">
        <w:rPr>
          <w:lang w:val="en-IE"/>
        </w:rPr>
        <w:t>, 9–16.</w:t>
      </w:r>
    </w:p>
    <w:p w14:paraId="0DD4453D" w14:textId="226A2CDE" w:rsidR="00983005" w:rsidRDefault="00983005" w:rsidP="00983005">
      <w:pPr>
        <w:pStyle w:val="Ref"/>
        <w:rPr>
          <w:highlight w:val="yellow"/>
          <w:u w:val="double"/>
        </w:rPr>
      </w:pPr>
      <w:r w:rsidRPr="009E7C43">
        <w:rPr>
          <w:smallCaps/>
          <w:highlight w:val="yellow"/>
          <w:u w:val="double"/>
        </w:rPr>
        <w:t>Rosenblatt J.E. &amp; Stewart</w:t>
      </w:r>
      <w:r w:rsidRPr="009E7C43">
        <w:rPr>
          <w:highlight w:val="yellow"/>
          <w:u w:val="double"/>
        </w:rPr>
        <w:t xml:space="preserve"> P.R. (1974). </w:t>
      </w:r>
      <w:r w:rsidRPr="00F22199">
        <w:rPr>
          <w:highlight w:val="yellow"/>
          <w:u w:val="double"/>
        </w:rPr>
        <w:t xml:space="preserve">Combined activity of sulfamethoxazole, trimethoprim, and polymyxin b against gram-negative bacilli. </w:t>
      </w:r>
      <w:proofErr w:type="spellStart"/>
      <w:r w:rsidRPr="00F22199">
        <w:rPr>
          <w:i/>
          <w:iCs/>
          <w:highlight w:val="yellow"/>
          <w:u w:val="double"/>
        </w:rPr>
        <w:t>Antimicrob</w:t>
      </w:r>
      <w:proofErr w:type="spellEnd"/>
      <w:r>
        <w:rPr>
          <w:i/>
          <w:iCs/>
          <w:highlight w:val="yellow"/>
          <w:u w:val="double"/>
        </w:rPr>
        <w:t>.</w:t>
      </w:r>
      <w:r w:rsidRPr="00F22199">
        <w:rPr>
          <w:i/>
          <w:iCs/>
          <w:highlight w:val="yellow"/>
          <w:u w:val="double"/>
        </w:rPr>
        <w:t xml:space="preserve"> Agents </w:t>
      </w:r>
      <w:proofErr w:type="spellStart"/>
      <w:r w:rsidRPr="00F22199">
        <w:rPr>
          <w:i/>
          <w:iCs/>
          <w:highlight w:val="yellow"/>
          <w:u w:val="double"/>
        </w:rPr>
        <w:t>Chemother</w:t>
      </w:r>
      <w:proofErr w:type="spellEnd"/>
      <w:r>
        <w:rPr>
          <w:i/>
          <w:iCs/>
          <w:highlight w:val="yellow"/>
          <w:u w:val="double"/>
        </w:rPr>
        <w:t>.,</w:t>
      </w:r>
      <w:r w:rsidRPr="00F22199">
        <w:rPr>
          <w:highlight w:val="yellow"/>
          <w:u w:val="double"/>
        </w:rPr>
        <w:t xml:space="preserve"> </w:t>
      </w:r>
      <w:r w:rsidRPr="00F22199">
        <w:rPr>
          <w:b/>
          <w:bCs/>
          <w:highlight w:val="yellow"/>
          <w:u w:val="double"/>
        </w:rPr>
        <w:t>6</w:t>
      </w:r>
      <w:r w:rsidRPr="00F22199">
        <w:rPr>
          <w:highlight w:val="yellow"/>
          <w:u w:val="double"/>
        </w:rPr>
        <w:t>, 84–92.</w:t>
      </w:r>
    </w:p>
    <w:p w14:paraId="59B41A5E" w14:textId="77777777" w:rsidR="00B40CBD" w:rsidRPr="00AA5E0A" w:rsidRDefault="00B40CBD" w:rsidP="00D63ACB">
      <w:pPr>
        <w:pStyle w:val="Ref"/>
        <w:spacing w:after="200"/>
        <w:rPr>
          <w:lang w:val="en-IE"/>
        </w:rPr>
      </w:pPr>
      <w:r w:rsidRPr="00AA5E0A">
        <w:rPr>
          <w:smallCaps/>
          <w:lang w:val="en-IE"/>
        </w:rPr>
        <w:t xml:space="preserve">Sterne </w:t>
      </w:r>
      <w:r w:rsidRPr="00AA5E0A">
        <w:rPr>
          <w:lang w:val="en-IE"/>
        </w:rPr>
        <w:t>M</w:t>
      </w:r>
      <w:r w:rsidRPr="00AA5E0A">
        <w:rPr>
          <w:i/>
          <w:iCs/>
          <w:lang w:val="en-IE"/>
        </w:rPr>
        <w:t xml:space="preserve">. </w:t>
      </w:r>
      <w:r w:rsidRPr="00AA5E0A">
        <w:rPr>
          <w:lang w:val="en-IE"/>
        </w:rPr>
        <w:t xml:space="preserve">(1937). The effect of different carbon dioxide concentrations on the growth of virulent anthrax strains. </w:t>
      </w:r>
      <w:proofErr w:type="spellStart"/>
      <w:r w:rsidRPr="00AA5E0A">
        <w:rPr>
          <w:i/>
          <w:iCs/>
          <w:lang w:val="en-IE"/>
        </w:rPr>
        <w:t>Onderstepoort</w:t>
      </w:r>
      <w:proofErr w:type="spellEnd"/>
      <w:r w:rsidRPr="00AA5E0A">
        <w:rPr>
          <w:i/>
          <w:iCs/>
          <w:lang w:val="en-IE"/>
        </w:rPr>
        <w:t xml:space="preserve"> J. Vet. Sci. Anim. Ind., </w:t>
      </w:r>
      <w:r w:rsidRPr="00AA5E0A">
        <w:rPr>
          <w:b/>
          <w:bCs/>
          <w:lang w:val="en-IE"/>
        </w:rPr>
        <w:t>9</w:t>
      </w:r>
      <w:r w:rsidRPr="00AA5E0A">
        <w:rPr>
          <w:i/>
          <w:iCs/>
          <w:lang w:val="en-IE"/>
        </w:rPr>
        <w:t xml:space="preserve">, </w:t>
      </w:r>
      <w:r w:rsidRPr="00AA5E0A">
        <w:rPr>
          <w:lang w:val="en-IE"/>
        </w:rPr>
        <w:t>49–67.</w:t>
      </w:r>
    </w:p>
    <w:p w14:paraId="59B41A5F" w14:textId="77777777" w:rsidR="00B40CBD" w:rsidRPr="00AA5E0A" w:rsidRDefault="00B40CBD" w:rsidP="00D63ACB">
      <w:pPr>
        <w:pStyle w:val="Ref"/>
        <w:spacing w:after="200"/>
        <w:rPr>
          <w:lang w:val="en-IE"/>
        </w:rPr>
      </w:pPr>
      <w:r w:rsidRPr="00AA5E0A">
        <w:rPr>
          <w:smallCaps/>
          <w:lang w:val="en-IE"/>
        </w:rPr>
        <w:t>Turnbull P.C.B., Frawley D.A. &amp;</w:t>
      </w:r>
      <w:r w:rsidR="00D21CE6" w:rsidRPr="00AA5E0A">
        <w:rPr>
          <w:smallCaps/>
          <w:lang w:val="en-IE"/>
        </w:rPr>
        <w:t xml:space="preserve"> </w:t>
      </w:r>
      <w:r w:rsidRPr="00AA5E0A">
        <w:rPr>
          <w:smallCaps/>
          <w:lang w:val="en-IE"/>
        </w:rPr>
        <w:t>Bull R.L.</w:t>
      </w:r>
      <w:r w:rsidR="00D21CE6" w:rsidRPr="00AA5E0A">
        <w:rPr>
          <w:smallCaps/>
          <w:lang w:val="en-IE"/>
        </w:rPr>
        <w:t xml:space="preserve"> </w:t>
      </w:r>
      <w:r w:rsidRPr="00AA5E0A">
        <w:rPr>
          <w:lang w:val="en-IE"/>
        </w:rPr>
        <w:t xml:space="preserve">(2007). Heat activation/shock temperatures for </w:t>
      </w:r>
      <w:r w:rsidRPr="00AA5E0A">
        <w:rPr>
          <w:i/>
          <w:iCs/>
          <w:lang w:val="en-IE"/>
        </w:rPr>
        <w:t>Bacillus anthracis</w:t>
      </w:r>
      <w:r w:rsidRPr="00AA5E0A">
        <w:rPr>
          <w:lang w:val="en-IE"/>
        </w:rPr>
        <w:t xml:space="preserve"> spores and the issue of spore plate counts versus true numbers of spores. </w:t>
      </w:r>
      <w:r w:rsidRPr="00AA5E0A">
        <w:rPr>
          <w:i/>
          <w:iCs/>
          <w:lang w:val="en-IE"/>
        </w:rPr>
        <w:t xml:space="preserve">J. </w:t>
      </w:r>
      <w:proofErr w:type="spellStart"/>
      <w:r w:rsidRPr="00AA5E0A">
        <w:rPr>
          <w:i/>
          <w:iCs/>
          <w:lang w:val="en-IE"/>
        </w:rPr>
        <w:t>Microbiol</w:t>
      </w:r>
      <w:proofErr w:type="spellEnd"/>
      <w:r w:rsidRPr="00AA5E0A">
        <w:rPr>
          <w:i/>
          <w:iCs/>
          <w:lang w:val="en-IE"/>
        </w:rPr>
        <w:t xml:space="preserve">. Methods, </w:t>
      </w:r>
      <w:r w:rsidRPr="00AA5E0A">
        <w:rPr>
          <w:b/>
          <w:bCs/>
          <w:lang w:val="en-IE"/>
        </w:rPr>
        <w:t>68</w:t>
      </w:r>
      <w:r w:rsidRPr="00AA5E0A">
        <w:rPr>
          <w:i/>
          <w:iCs/>
          <w:lang w:val="en-IE"/>
        </w:rPr>
        <w:t xml:space="preserve">, </w:t>
      </w:r>
      <w:r w:rsidRPr="00AA5E0A">
        <w:rPr>
          <w:lang w:val="en-IE"/>
        </w:rPr>
        <w:t>353–357.</w:t>
      </w:r>
    </w:p>
    <w:p w14:paraId="5CBC67DD" w14:textId="77777777" w:rsidR="00983005" w:rsidRPr="00F22199" w:rsidRDefault="00983005" w:rsidP="00983005">
      <w:pPr>
        <w:pStyle w:val="Ref"/>
        <w:rPr>
          <w:rFonts w:ascii="Arial" w:eastAsia="MS Mincho" w:hAnsi="Arial"/>
          <w:highlight w:val="yellow"/>
          <w:u w:val="double"/>
          <w:lang w:val="en-IE"/>
        </w:rPr>
      </w:pPr>
      <w:r w:rsidRPr="00AB46F7">
        <w:rPr>
          <w:rFonts w:ascii="Arial" w:eastAsia="MS Mincho" w:hAnsi="Arial"/>
          <w:smallCaps/>
          <w:highlight w:val="yellow"/>
          <w:u w:val="double"/>
          <w:lang w:val="en-IE"/>
        </w:rPr>
        <w:t xml:space="preserve">Van </w:t>
      </w:r>
      <w:proofErr w:type="spellStart"/>
      <w:r w:rsidRPr="00AB46F7">
        <w:rPr>
          <w:rFonts w:ascii="Arial" w:eastAsia="MS Mincho" w:hAnsi="Arial"/>
          <w:smallCaps/>
          <w:highlight w:val="yellow"/>
          <w:u w:val="double"/>
          <w:lang w:val="en-IE"/>
        </w:rPr>
        <w:t>Ert</w:t>
      </w:r>
      <w:proofErr w:type="spellEnd"/>
      <w:r w:rsidRPr="00AB46F7">
        <w:rPr>
          <w:rFonts w:ascii="Arial" w:eastAsia="MS Mincho" w:hAnsi="Arial"/>
          <w:smallCaps/>
          <w:highlight w:val="yellow"/>
          <w:u w:val="double"/>
          <w:lang w:val="en-IE"/>
        </w:rPr>
        <w:t xml:space="preserve"> M.N., </w:t>
      </w:r>
      <w:proofErr w:type="spellStart"/>
      <w:r w:rsidRPr="00AB46F7">
        <w:rPr>
          <w:rFonts w:ascii="Arial" w:eastAsia="MS Mincho" w:hAnsi="Arial"/>
          <w:smallCaps/>
          <w:highlight w:val="yellow"/>
          <w:u w:val="double"/>
          <w:lang w:val="en-IE"/>
        </w:rPr>
        <w:t>Easterday</w:t>
      </w:r>
      <w:proofErr w:type="spellEnd"/>
      <w:r w:rsidRPr="00AB46F7">
        <w:rPr>
          <w:rFonts w:ascii="Arial" w:eastAsia="MS Mincho" w:hAnsi="Arial"/>
          <w:smallCaps/>
          <w:highlight w:val="yellow"/>
          <w:u w:val="double"/>
          <w:lang w:val="en-IE"/>
        </w:rPr>
        <w:t xml:space="preserve"> W.R., Huynh L.Y., </w:t>
      </w:r>
      <w:proofErr w:type="spellStart"/>
      <w:r w:rsidRPr="00AB46F7">
        <w:rPr>
          <w:rFonts w:ascii="Arial" w:eastAsia="MS Mincho" w:hAnsi="Arial"/>
          <w:smallCaps/>
          <w:highlight w:val="yellow"/>
          <w:u w:val="double"/>
          <w:lang w:val="en-IE"/>
        </w:rPr>
        <w:t>Okinaka</w:t>
      </w:r>
      <w:proofErr w:type="spellEnd"/>
      <w:r w:rsidRPr="00AB46F7">
        <w:rPr>
          <w:rFonts w:ascii="Arial" w:eastAsia="MS Mincho" w:hAnsi="Arial"/>
          <w:smallCaps/>
          <w:highlight w:val="yellow"/>
          <w:u w:val="double"/>
          <w:lang w:val="en-IE"/>
        </w:rPr>
        <w:t xml:space="preserve"> R.T., Hugh-Jones M.E., Ravel J., </w:t>
      </w:r>
      <w:proofErr w:type="spellStart"/>
      <w:r w:rsidRPr="00AB46F7">
        <w:rPr>
          <w:rFonts w:ascii="Arial" w:eastAsia="MS Mincho" w:hAnsi="Arial"/>
          <w:smallCaps/>
          <w:highlight w:val="yellow"/>
          <w:u w:val="double"/>
          <w:lang w:val="en-IE"/>
        </w:rPr>
        <w:t>Zanecki</w:t>
      </w:r>
      <w:proofErr w:type="spellEnd"/>
      <w:r w:rsidRPr="00AB46F7">
        <w:rPr>
          <w:rFonts w:ascii="Arial" w:eastAsia="MS Mincho" w:hAnsi="Arial"/>
          <w:smallCaps/>
          <w:highlight w:val="yellow"/>
          <w:u w:val="double"/>
          <w:lang w:val="en-IE"/>
        </w:rPr>
        <w:t xml:space="preserve"> S.R., Pearson T., Simonson T.S., </w:t>
      </w:r>
      <w:proofErr w:type="spellStart"/>
      <w:r w:rsidRPr="00AB46F7">
        <w:rPr>
          <w:rFonts w:ascii="Arial" w:eastAsia="MS Mincho" w:hAnsi="Arial"/>
          <w:smallCaps/>
          <w:highlight w:val="yellow"/>
          <w:u w:val="double"/>
          <w:lang w:val="en-IE"/>
        </w:rPr>
        <w:t>U</w:t>
      </w:r>
      <w:r>
        <w:rPr>
          <w:rFonts w:ascii="Arial" w:eastAsia="MS Mincho" w:hAnsi="Arial"/>
          <w:smallCaps/>
          <w:highlight w:val="yellow"/>
          <w:u w:val="double"/>
          <w:lang w:val="en-IE"/>
        </w:rPr>
        <w:t>’</w:t>
      </w:r>
      <w:r w:rsidRPr="00AB46F7">
        <w:rPr>
          <w:rFonts w:ascii="Arial" w:eastAsia="MS Mincho" w:hAnsi="Arial"/>
          <w:smallCaps/>
          <w:highlight w:val="yellow"/>
          <w:u w:val="double"/>
          <w:lang w:val="en-IE"/>
        </w:rPr>
        <w:t>Ren</w:t>
      </w:r>
      <w:proofErr w:type="spellEnd"/>
      <w:r w:rsidRPr="00AB46F7">
        <w:rPr>
          <w:rFonts w:ascii="Arial" w:eastAsia="MS Mincho" w:hAnsi="Arial"/>
          <w:smallCaps/>
          <w:highlight w:val="yellow"/>
          <w:u w:val="double"/>
          <w:lang w:val="en-IE"/>
        </w:rPr>
        <w:t xml:space="preserve"> J.M., </w:t>
      </w:r>
      <w:proofErr w:type="spellStart"/>
      <w:r w:rsidRPr="00AB46F7">
        <w:rPr>
          <w:rFonts w:ascii="Arial" w:eastAsia="MS Mincho" w:hAnsi="Arial"/>
          <w:smallCaps/>
          <w:highlight w:val="yellow"/>
          <w:u w:val="double"/>
          <w:lang w:val="en-IE"/>
        </w:rPr>
        <w:t>Kachur</w:t>
      </w:r>
      <w:proofErr w:type="spellEnd"/>
      <w:r w:rsidRPr="00AB46F7">
        <w:rPr>
          <w:rFonts w:ascii="Arial" w:eastAsia="MS Mincho" w:hAnsi="Arial"/>
          <w:smallCaps/>
          <w:highlight w:val="yellow"/>
          <w:u w:val="double"/>
          <w:lang w:val="en-IE"/>
        </w:rPr>
        <w:t xml:space="preserve"> S.M., </w:t>
      </w:r>
      <w:proofErr w:type="spellStart"/>
      <w:r w:rsidRPr="00AB46F7">
        <w:rPr>
          <w:rFonts w:ascii="Arial" w:eastAsia="MS Mincho" w:hAnsi="Arial"/>
          <w:smallCaps/>
          <w:highlight w:val="yellow"/>
          <w:u w:val="double"/>
          <w:lang w:val="en-IE"/>
        </w:rPr>
        <w:t>Leadem</w:t>
      </w:r>
      <w:proofErr w:type="spellEnd"/>
      <w:r w:rsidRPr="00AB46F7">
        <w:rPr>
          <w:rFonts w:ascii="Arial" w:eastAsia="MS Mincho" w:hAnsi="Arial"/>
          <w:smallCaps/>
          <w:highlight w:val="yellow"/>
          <w:u w:val="double"/>
          <w:lang w:val="en-IE"/>
        </w:rPr>
        <w:t xml:space="preserve">-Dougherty R.R., </w:t>
      </w:r>
      <w:proofErr w:type="spellStart"/>
      <w:r w:rsidRPr="00AB46F7">
        <w:rPr>
          <w:rFonts w:ascii="Arial" w:eastAsia="MS Mincho" w:hAnsi="Arial"/>
          <w:smallCaps/>
          <w:highlight w:val="yellow"/>
          <w:u w:val="double"/>
          <w:lang w:val="en-IE"/>
        </w:rPr>
        <w:t>Rhoton</w:t>
      </w:r>
      <w:proofErr w:type="spellEnd"/>
      <w:r w:rsidRPr="00AB46F7">
        <w:rPr>
          <w:rFonts w:ascii="Arial" w:eastAsia="MS Mincho" w:hAnsi="Arial"/>
          <w:smallCaps/>
          <w:highlight w:val="yellow"/>
          <w:u w:val="double"/>
          <w:lang w:val="en-IE"/>
        </w:rPr>
        <w:t xml:space="preserve"> S.D., </w:t>
      </w:r>
      <w:proofErr w:type="spellStart"/>
      <w:r w:rsidRPr="00AB46F7">
        <w:rPr>
          <w:rFonts w:ascii="Arial" w:eastAsia="MS Mincho" w:hAnsi="Arial"/>
          <w:smallCaps/>
          <w:highlight w:val="yellow"/>
          <w:u w:val="double"/>
          <w:lang w:val="en-IE"/>
        </w:rPr>
        <w:t>Zinser</w:t>
      </w:r>
      <w:proofErr w:type="spellEnd"/>
      <w:r w:rsidRPr="00AB46F7">
        <w:rPr>
          <w:rFonts w:ascii="Arial" w:eastAsia="MS Mincho" w:hAnsi="Arial"/>
          <w:smallCaps/>
          <w:highlight w:val="yellow"/>
          <w:u w:val="double"/>
          <w:lang w:val="en-IE"/>
        </w:rPr>
        <w:t xml:space="preserve"> G., Farlow J., Coker P.R, Smith K.L., Wang B., </w:t>
      </w:r>
      <w:proofErr w:type="spellStart"/>
      <w:r w:rsidRPr="00AB46F7">
        <w:rPr>
          <w:rFonts w:ascii="Arial" w:eastAsia="MS Mincho" w:hAnsi="Arial"/>
          <w:smallCaps/>
          <w:highlight w:val="yellow"/>
          <w:u w:val="double"/>
          <w:lang w:val="en-IE"/>
        </w:rPr>
        <w:t>Kenefic</w:t>
      </w:r>
      <w:proofErr w:type="spellEnd"/>
      <w:r w:rsidRPr="00AB46F7">
        <w:rPr>
          <w:rFonts w:ascii="Arial" w:eastAsia="MS Mincho" w:hAnsi="Arial"/>
          <w:smallCaps/>
          <w:highlight w:val="yellow"/>
          <w:u w:val="double"/>
          <w:lang w:val="en-IE"/>
        </w:rPr>
        <w:t xml:space="preserve"> LG., Fraser-Liggett C.M., Wagner D.M. &amp; </w:t>
      </w:r>
      <w:proofErr w:type="spellStart"/>
      <w:r w:rsidRPr="00AB46F7">
        <w:rPr>
          <w:rFonts w:ascii="Arial" w:eastAsia="MS Mincho" w:hAnsi="Arial"/>
          <w:smallCaps/>
          <w:highlight w:val="yellow"/>
          <w:u w:val="double"/>
          <w:lang w:val="en-IE"/>
        </w:rPr>
        <w:t>Keim</w:t>
      </w:r>
      <w:proofErr w:type="spellEnd"/>
      <w:r w:rsidRPr="00AB46F7">
        <w:rPr>
          <w:rFonts w:ascii="Arial" w:eastAsia="MS Mincho" w:hAnsi="Arial"/>
          <w:smallCaps/>
          <w:highlight w:val="yellow"/>
          <w:u w:val="double"/>
          <w:lang w:val="en-IE"/>
        </w:rPr>
        <w:t xml:space="preserve"> P. (2007). </w:t>
      </w:r>
      <w:r w:rsidRPr="00AB46F7">
        <w:rPr>
          <w:rFonts w:ascii="Arial" w:eastAsia="MS Mincho" w:hAnsi="Arial"/>
          <w:highlight w:val="yellow"/>
          <w:u w:val="double"/>
          <w:lang w:val="en-IE"/>
        </w:rPr>
        <w:t xml:space="preserve">Global genetic population structure of </w:t>
      </w:r>
      <w:r w:rsidRPr="00AB46F7">
        <w:rPr>
          <w:rFonts w:ascii="Arial" w:eastAsia="MS Mincho" w:hAnsi="Arial"/>
          <w:i/>
          <w:highlight w:val="yellow"/>
          <w:u w:val="double"/>
          <w:lang w:val="en-IE"/>
        </w:rPr>
        <w:t>Bacillus</w:t>
      </w:r>
      <w:r w:rsidRPr="00AB46F7">
        <w:rPr>
          <w:rFonts w:ascii="Arial" w:eastAsia="MS Mincho" w:hAnsi="Arial"/>
          <w:highlight w:val="yellow"/>
          <w:u w:val="double"/>
          <w:lang w:val="en-IE"/>
        </w:rPr>
        <w:t xml:space="preserve"> </w:t>
      </w:r>
      <w:r w:rsidRPr="00AB46F7">
        <w:rPr>
          <w:rFonts w:ascii="Arial" w:eastAsia="MS Mincho" w:hAnsi="Arial"/>
          <w:i/>
          <w:highlight w:val="yellow"/>
          <w:u w:val="double"/>
          <w:lang w:val="en-IE"/>
        </w:rPr>
        <w:t>anthracis</w:t>
      </w:r>
      <w:r w:rsidRPr="00AB46F7">
        <w:rPr>
          <w:rFonts w:ascii="Arial" w:eastAsia="MS Mincho" w:hAnsi="Arial"/>
          <w:highlight w:val="yellow"/>
          <w:u w:val="double"/>
          <w:lang w:val="en-IE"/>
        </w:rPr>
        <w:t xml:space="preserve">. </w:t>
      </w:r>
      <w:proofErr w:type="spellStart"/>
      <w:r w:rsidRPr="00AB46F7">
        <w:rPr>
          <w:rFonts w:ascii="Arial" w:eastAsia="MS Mincho" w:hAnsi="Arial"/>
          <w:i/>
          <w:highlight w:val="yellow"/>
          <w:u w:val="double"/>
          <w:lang w:val="en-IE"/>
        </w:rPr>
        <w:t>PLoS</w:t>
      </w:r>
      <w:proofErr w:type="spellEnd"/>
      <w:r w:rsidRPr="00AB46F7">
        <w:rPr>
          <w:rFonts w:ascii="Arial" w:eastAsia="MS Mincho" w:hAnsi="Arial"/>
          <w:i/>
          <w:highlight w:val="yellow"/>
          <w:u w:val="double"/>
          <w:lang w:val="en-IE"/>
        </w:rPr>
        <w:t xml:space="preserve"> One</w:t>
      </w:r>
      <w:r w:rsidRPr="00AB46F7">
        <w:rPr>
          <w:rFonts w:ascii="Arial" w:eastAsia="MS Mincho" w:hAnsi="Arial"/>
          <w:highlight w:val="yellow"/>
          <w:u w:val="double"/>
          <w:lang w:val="en-IE"/>
        </w:rPr>
        <w:t xml:space="preserve">, </w:t>
      </w:r>
      <w:r w:rsidRPr="00AB46F7">
        <w:rPr>
          <w:rFonts w:ascii="Arial" w:eastAsia="MS Mincho" w:hAnsi="Arial"/>
          <w:b/>
          <w:highlight w:val="yellow"/>
          <w:u w:val="double"/>
          <w:lang w:val="en-IE"/>
        </w:rPr>
        <w:t>2</w:t>
      </w:r>
      <w:r w:rsidRPr="00AB46F7">
        <w:rPr>
          <w:rFonts w:ascii="Arial" w:eastAsia="MS Mincho" w:hAnsi="Arial"/>
          <w:highlight w:val="yellow"/>
          <w:u w:val="double"/>
          <w:lang w:val="en-IE"/>
        </w:rPr>
        <w:t xml:space="preserve">(5):e461. </w:t>
      </w:r>
      <w:proofErr w:type="spellStart"/>
      <w:r w:rsidRPr="00AB46F7">
        <w:rPr>
          <w:rFonts w:ascii="Arial" w:eastAsia="MS Mincho" w:hAnsi="Arial"/>
          <w:highlight w:val="yellow"/>
          <w:u w:val="double"/>
          <w:lang w:val="en-IE"/>
        </w:rPr>
        <w:t>Epub</w:t>
      </w:r>
      <w:proofErr w:type="spellEnd"/>
      <w:r w:rsidRPr="00AB46F7">
        <w:rPr>
          <w:rFonts w:ascii="Arial" w:eastAsia="MS Mincho" w:hAnsi="Arial"/>
          <w:highlight w:val="yellow"/>
          <w:u w:val="double"/>
          <w:lang w:val="en-IE"/>
        </w:rPr>
        <w:t xml:space="preserve"> 2007/05/24. </w:t>
      </w:r>
      <w:proofErr w:type="spellStart"/>
      <w:r w:rsidRPr="00AB46F7">
        <w:rPr>
          <w:rFonts w:ascii="Arial" w:eastAsia="MS Mincho" w:hAnsi="Arial"/>
          <w:highlight w:val="yellow"/>
          <w:u w:val="double"/>
          <w:lang w:val="en-IE"/>
        </w:rPr>
        <w:t>doi</w:t>
      </w:r>
      <w:proofErr w:type="spellEnd"/>
      <w:r w:rsidRPr="00AB46F7">
        <w:rPr>
          <w:rFonts w:ascii="Arial" w:eastAsia="MS Mincho" w:hAnsi="Arial"/>
          <w:highlight w:val="yellow"/>
          <w:u w:val="double"/>
          <w:lang w:val="en-IE"/>
        </w:rPr>
        <w:t>: 10.1371/journal.pone.0000461.</w:t>
      </w:r>
    </w:p>
    <w:p w14:paraId="28B10194" w14:textId="38DBB8C4" w:rsidR="00E530BA" w:rsidRPr="00BE7ACA" w:rsidRDefault="00E530BA" w:rsidP="00E530BA">
      <w:pPr>
        <w:spacing w:after="240" w:line="240" w:lineRule="auto"/>
        <w:rPr>
          <w:rFonts w:ascii="Söhne" w:eastAsia="MS Mincho" w:hAnsi="Söhne" w:cs="Arial"/>
          <w:sz w:val="18"/>
          <w:szCs w:val="18"/>
          <w:u w:val="double"/>
          <w:lang w:val="en-IE"/>
        </w:rPr>
      </w:pPr>
      <w:proofErr w:type="spellStart"/>
      <w:r w:rsidRPr="00BE7ACA">
        <w:rPr>
          <w:rFonts w:ascii="Söhne" w:eastAsia="MS Mincho" w:hAnsi="Söhne" w:cs="Arial"/>
          <w:smallCaps/>
          <w:sz w:val="18"/>
          <w:szCs w:val="18"/>
          <w:highlight w:val="yellow"/>
          <w:u w:val="double"/>
          <w:lang w:val="en-IE"/>
        </w:rPr>
        <w:t>Wielinga</w:t>
      </w:r>
      <w:proofErr w:type="spellEnd"/>
      <w:r w:rsidRPr="00BE7ACA">
        <w:rPr>
          <w:rFonts w:ascii="Söhne" w:eastAsia="MS Mincho" w:hAnsi="Söhne" w:cs="Arial"/>
          <w:smallCaps/>
          <w:sz w:val="18"/>
          <w:szCs w:val="18"/>
          <w:highlight w:val="yellow"/>
          <w:u w:val="double"/>
          <w:lang w:val="en-IE"/>
        </w:rPr>
        <w:t xml:space="preserve"> P.R., </w:t>
      </w:r>
      <w:proofErr w:type="spellStart"/>
      <w:r w:rsidRPr="00BE7ACA">
        <w:rPr>
          <w:rFonts w:ascii="Söhne" w:eastAsia="MS Mincho" w:hAnsi="Söhne" w:cs="Arial"/>
          <w:smallCaps/>
          <w:sz w:val="18"/>
          <w:szCs w:val="18"/>
          <w:highlight w:val="yellow"/>
          <w:u w:val="double"/>
          <w:lang w:val="en-IE"/>
        </w:rPr>
        <w:t>Hamidjaja</w:t>
      </w:r>
      <w:proofErr w:type="spellEnd"/>
      <w:r w:rsidRPr="00BE7ACA">
        <w:rPr>
          <w:rFonts w:ascii="Söhne" w:eastAsia="MS Mincho" w:hAnsi="Söhne" w:cs="Arial"/>
          <w:smallCaps/>
          <w:sz w:val="18"/>
          <w:szCs w:val="18"/>
          <w:highlight w:val="yellow"/>
          <w:u w:val="double"/>
          <w:lang w:val="en-IE"/>
        </w:rPr>
        <w:t xml:space="preserve"> R.A., </w:t>
      </w:r>
      <w:proofErr w:type="spellStart"/>
      <w:r w:rsidRPr="00BE7ACA">
        <w:rPr>
          <w:rFonts w:ascii="Söhne" w:eastAsia="MS Mincho" w:hAnsi="Söhne" w:cs="Arial"/>
          <w:smallCaps/>
          <w:sz w:val="18"/>
          <w:szCs w:val="18"/>
          <w:highlight w:val="yellow"/>
          <w:u w:val="double"/>
          <w:lang w:val="en-IE"/>
        </w:rPr>
        <w:t>Agren</w:t>
      </w:r>
      <w:proofErr w:type="spellEnd"/>
      <w:r w:rsidRPr="00BE7ACA">
        <w:rPr>
          <w:rFonts w:ascii="Söhne" w:eastAsia="MS Mincho" w:hAnsi="Söhne" w:cs="Arial"/>
          <w:smallCaps/>
          <w:sz w:val="18"/>
          <w:szCs w:val="18"/>
          <w:highlight w:val="yellow"/>
          <w:u w:val="double"/>
          <w:lang w:val="en-IE"/>
        </w:rPr>
        <w:t xml:space="preserve"> J., Knutsson R., </w:t>
      </w:r>
      <w:proofErr w:type="spellStart"/>
      <w:r w:rsidRPr="00BE7ACA">
        <w:rPr>
          <w:rFonts w:ascii="Söhne" w:eastAsia="MS Mincho" w:hAnsi="Söhne" w:cs="Arial"/>
          <w:smallCaps/>
          <w:sz w:val="18"/>
          <w:szCs w:val="18"/>
          <w:highlight w:val="yellow"/>
          <w:u w:val="double"/>
          <w:lang w:val="en-IE"/>
        </w:rPr>
        <w:t>Segerman</w:t>
      </w:r>
      <w:proofErr w:type="spellEnd"/>
      <w:r w:rsidRPr="00BE7ACA">
        <w:rPr>
          <w:rFonts w:ascii="Söhne" w:eastAsia="MS Mincho" w:hAnsi="Söhne" w:cs="Arial"/>
          <w:smallCaps/>
          <w:sz w:val="18"/>
          <w:szCs w:val="18"/>
          <w:highlight w:val="yellow"/>
          <w:u w:val="double"/>
          <w:lang w:val="en-IE"/>
        </w:rPr>
        <w:t xml:space="preserve"> B., Fricker M., </w:t>
      </w:r>
      <w:proofErr w:type="spellStart"/>
      <w:r w:rsidRPr="00BE7ACA">
        <w:rPr>
          <w:rFonts w:ascii="Söhne" w:eastAsia="MS Mincho" w:hAnsi="Söhne" w:cs="Arial"/>
          <w:smallCaps/>
          <w:sz w:val="18"/>
          <w:szCs w:val="18"/>
          <w:highlight w:val="yellow"/>
          <w:u w:val="double"/>
          <w:lang w:val="en-IE"/>
        </w:rPr>
        <w:t>Ehling</w:t>
      </w:r>
      <w:proofErr w:type="spellEnd"/>
      <w:r w:rsidRPr="00BE7ACA">
        <w:rPr>
          <w:rFonts w:ascii="Söhne" w:eastAsia="MS Mincho" w:hAnsi="Söhne" w:cs="Arial"/>
          <w:smallCaps/>
          <w:sz w:val="18"/>
          <w:szCs w:val="18"/>
          <w:highlight w:val="yellow"/>
          <w:u w:val="double"/>
          <w:lang w:val="en-IE"/>
        </w:rPr>
        <w:t xml:space="preserve">-Schulz M., de Groot A., Burton J., Brooks T., </w:t>
      </w:r>
      <w:proofErr w:type="spellStart"/>
      <w:r w:rsidRPr="00BE7ACA">
        <w:rPr>
          <w:rFonts w:ascii="Söhne" w:eastAsia="MS Mincho" w:hAnsi="Söhne" w:cs="Arial"/>
          <w:smallCaps/>
          <w:sz w:val="18"/>
          <w:szCs w:val="18"/>
          <w:highlight w:val="yellow"/>
          <w:u w:val="double"/>
          <w:lang w:val="en-IE"/>
        </w:rPr>
        <w:t>Janse</w:t>
      </w:r>
      <w:proofErr w:type="spellEnd"/>
      <w:r w:rsidRPr="00BE7ACA">
        <w:rPr>
          <w:rFonts w:ascii="Söhne" w:eastAsia="MS Mincho" w:hAnsi="Söhne" w:cs="Arial"/>
          <w:smallCaps/>
          <w:sz w:val="18"/>
          <w:szCs w:val="18"/>
          <w:highlight w:val="yellow"/>
          <w:u w:val="double"/>
          <w:lang w:val="en-IE"/>
        </w:rPr>
        <w:t xml:space="preserve"> I. &amp; van Rotterdam B. (2011). </w:t>
      </w:r>
      <w:r w:rsidRPr="00BE7ACA">
        <w:rPr>
          <w:rFonts w:ascii="Söhne" w:eastAsia="MS Mincho" w:hAnsi="Söhne" w:cs="Arial"/>
          <w:sz w:val="18"/>
          <w:szCs w:val="18"/>
          <w:highlight w:val="yellow"/>
          <w:u w:val="double"/>
          <w:lang w:val="en-IE"/>
        </w:rPr>
        <w:t xml:space="preserve">A multiplex real-time PCR for identifying and differentiating </w:t>
      </w:r>
      <w:r w:rsidRPr="00BE7ACA">
        <w:rPr>
          <w:rFonts w:ascii="Söhne" w:eastAsia="MS Mincho" w:hAnsi="Söhne" w:cs="Arial"/>
          <w:i/>
          <w:sz w:val="18"/>
          <w:szCs w:val="18"/>
          <w:highlight w:val="yellow"/>
          <w:u w:val="double"/>
          <w:lang w:val="en-IE"/>
        </w:rPr>
        <w:t>B</w:t>
      </w:r>
      <w:r w:rsidRPr="00BE7ACA">
        <w:rPr>
          <w:rFonts w:ascii="Söhne" w:eastAsia="MS Mincho" w:hAnsi="Söhne" w:cs="Arial"/>
          <w:sz w:val="18"/>
          <w:szCs w:val="18"/>
          <w:highlight w:val="yellow"/>
          <w:u w:val="double"/>
          <w:lang w:val="en-IE"/>
        </w:rPr>
        <w:t>.</w:t>
      </w:r>
      <w:r w:rsidR="00BE7ACA">
        <w:rPr>
          <w:rFonts w:ascii="Söhne" w:eastAsia="MS Mincho" w:hAnsi="Söhne" w:cs="Arial"/>
          <w:sz w:val="18"/>
          <w:szCs w:val="18"/>
          <w:highlight w:val="yellow"/>
          <w:u w:val="double"/>
          <w:lang w:val="en-IE"/>
        </w:rPr>
        <w:t> </w:t>
      </w:r>
      <w:r w:rsidRPr="00BE7ACA">
        <w:rPr>
          <w:rFonts w:ascii="Söhne" w:eastAsia="MS Mincho" w:hAnsi="Söhne" w:cs="Arial"/>
          <w:i/>
          <w:sz w:val="18"/>
          <w:szCs w:val="18"/>
          <w:highlight w:val="yellow"/>
          <w:u w:val="double"/>
          <w:lang w:val="en-IE"/>
        </w:rPr>
        <w:t>anthracis</w:t>
      </w:r>
      <w:r w:rsidRPr="00BE7ACA">
        <w:rPr>
          <w:rFonts w:ascii="Söhne" w:eastAsia="MS Mincho" w:hAnsi="Söhne" w:cs="Arial"/>
          <w:sz w:val="18"/>
          <w:szCs w:val="18"/>
          <w:highlight w:val="yellow"/>
          <w:u w:val="double"/>
          <w:lang w:val="en-IE"/>
        </w:rPr>
        <w:t xml:space="preserve"> virulent types. </w:t>
      </w:r>
      <w:r w:rsidRPr="00BE7ACA">
        <w:rPr>
          <w:rFonts w:ascii="Söhne" w:eastAsia="MS Mincho" w:hAnsi="Söhne" w:cs="Arial"/>
          <w:i/>
          <w:sz w:val="18"/>
          <w:szCs w:val="18"/>
          <w:highlight w:val="yellow"/>
          <w:u w:val="double"/>
          <w:lang w:val="en-IE"/>
        </w:rPr>
        <w:t>Int</w:t>
      </w:r>
      <w:r w:rsidR="00BE7ACA">
        <w:rPr>
          <w:rFonts w:ascii="Söhne" w:eastAsia="MS Mincho" w:hAnsi="Söhne" w:cs="Arial"/>
          <w:i/>
          <w:sz w:val="18"/>
          <w:szCs w:val="18"/>
          <w:highlight w:val="yellow"/>
          <w:u w:val="double"/>
          <w:lang w:val="en-IE"/>
        </w:rPr>
        <w:t>.</w:t>
      </w:r>
      <w:r w:rsidRPr="00BE7ACA">
        <w:rPr>
          <w:rFonts w:ascii="Söhne" w:eastAsia="MS Mincho" w:hAnsi="Söhne" w:cs="Arial"/>
          <w:i/>
          <w:sz w:val="18"/>
          <w:szCs w:val="18"/>
          <w:highlight w:val="yellow"/>
          <w:u w:val="double"/>
          <w:lang w:val="en-IE"/>
        </w:rPr>
        <w:t xml:space="preserve"> J</w:t>
      </w:r>
      <w:r w:rsidR="00BE7ACA">
        <w:rPr>
          <w:rFonts w:ascii="Söhne" w:eastAsia="MS Mincho" w:hAnsi="Söhne" w:cs="Arial"/>
          <w:i/>
          <w:sz w:val="18"/>
          <w:szCs w:val="18"/>
          <w:highlight w:val="yellow"/>
          <w:u w:val="double"/>
          <w:lang w:val="en-IE"/>
        </w:rPr>
        <w:t>.</w:t>
      </w:r>
      <w:r w:rsidRPr="00BE7ACA">
        <w:rPr>
          <w:rFonts w:ascii="Söhne" w:eastAsia="MS Mincho" w:hAnsi="Söhne" w:cs="Arial"/>
          <w:i/>
          <w:sz w:val="18"/>
          <w:szCs w:val="18"/>
          <w:highlight w:val="yellow"/>
          <w:u w:val="double"/>
          <w:lang w:val="en-IE"/>
        </w:rPr>
        <w:t xml:space="preserve"> Food </w:t>
      </w:r>
      <w:proofErr w:type="spellStart"/>
      <w:r w:rsidRPr="00BE7ACA">
        <w:rPr>
          <w:rFonts w:ascii="Söhne" w:eastAsia="MS Mincho" w:hAnsi="Söhne" w:cs="Arial"/>
          <w:i/>
          <w:sz w:val="18"/>
          <w:szCs w:val="18"/>
          <w:highlight w:val="yellow"/>
          <w:u w:val="double"/>
          <w:lang w:val="en-IE"/>
        </w:rPr>
        <w:t>Microbiol</w:t>
      </w:r>
      <w:proofErr w:type="spellEnd"/>
      <w:r w:rsidR="00BE7ACA">
        <w:rPr>
          <w:rFonts w:ascii="Söhne" w:eastAsia="MS Mincho" w:hAnsi="Söhne" w:cs="Arial"/>
          <w:i/>
          <w:sz w:val="18"/>
          <w:szCs w:val="18"/>
          <w:highlight w:val="yellow"/>
          <w:u w:val="double"/>
          <w:lang w:val="en-IE"/>
        </w:rPr>
        <w:t>.</w:t>
      </w:r>
      <w:r w:rsidRPr="00BE7ACA">
        <w:rPr>
          <w:rFonts w:ascii="Söhne" w:eastAsia="MS Mincho" w:hAnsi="Söhne" w:cs="Arial"/>
          <w:sz w:val="18"/>
          <w:szCs w:val="18"/>
          <w:highlight w:val="yellow"/>
          <w:u w:val="double"/>
          <w:lang w:val="en-IE"/>
        </w:rPr>
        <w:t xml:space="preserve">, </w:t>
      </w:r>
      <w:r w:rsidRPr="00BE7ACA">
        <w:rPr>
          <w:rFonts w:ascii="Söhne" w:eastAsia="MS Mincho" w:hAnsi="Söhne" w:cs="Arial"/>
          <w:b/>
          <w:sz w:val="18"/>
          <w:szCs w:val="18"/>
          <w:highlight w:val="yellow"/>
          <w:u w:val="double"/>
          <w:lang w:val="en-IE"/>
        </w:rPr>
        <w:t>145</w:t>
      </w:r>
      <w:r w:rsidRPr="00BE7ACA">
        <w:rPr>
          <w:rFonts w:ascii="Söhne" w:eastAsia="MS Mincho" w:hAnsi="Söhne" w:cs="Arial"/>
          <w:sz w:val="18"/>
          <w:szCs w:val="18"/>
          <w:highlight w:val="yellow"/>
          <w:u w:val="double"/>
          <w:lang w:val="en-IE"/>
        </w:rPr>
        <w:t>, Suppl</w:t>
      </w:r>
      <w:r w:rsidR="0070204A">
        <w:rPr>
          <w:rFonts w:ascii="Söhne" w:eastAsia="MS Mincho" w:hAnsi="Söhne" w:cs="Arial"/>
          <w:sz w:val="18"/>
          <w:szCs w:val="18"/>
          <w:highlight w:val="yellow"/>
          <w:u w:val="double"/>
          <w:lang w:val="en-IE"/>
        </w:rPr>
        <w:t>.</w:t>
      </w:r>
      <w:r w:rsidRPr="00BE7ACA">
        <w:rPr>
          <w:rFonts w:ascii="Söhne" w:eastAsia="MS Mincho" w:hAnsi="Söhne" w:cs="Arial"/>
          <w:sz w:val="18"/>
          <w:szCs w:val="18"/>
          <w:highlight w:val="yellow"/>
          <w:u w:val="double"/>
          <w:lang w:val="en-IE"/>
        </w:rPr>
        <w:t xml:space="preserve"> 1:</w:t>
      </w:r>
      <w:r w:rsidR="00BE7ACA">
        <w:rPr>
          <w:rFonts w:ascii="Söhne" w:eastAsia="MS Mincho" w:hAnsi="Söhne" w:cs="Arial"/>
          <w:sz w:val="18"/>
          <w:szCs w:val="18"/>
          <w:highlight w:val="yellow"/>
          <w:u w:val="double"/>
          <w:lang w:val="en-IE"/>
        </w:rPr>
        <w:t xml:space="preserve"> </w:t>
      </w:r>
      <w:r w:rsidRPr="00BE7ACA">
        <w:rPr>
          <w:rFonts w:ascii="Söhne" w:eastAsia="MS Mincho" w:hAnsi="Söhne" w:cs="Arial"/>
          <w:sz w:val="18"/>
          <w:szCs w:val="18"/>
          <w:highlight w:val="yellow"/>
          <w:u w:val="double"/>
          <w:lang w:val="en-IE"/>
        </w:rPr>
        <w:t xml:space="preserve">S137-44. </w:t>
      </w:r>
      <w:proofErr w:type="spellStart"/>
      <w:r w:rsidRPr="00BE7ACA">
        <w:rPr>
          <w:rFonts w:ascii="Söhne" w:eastAsia="MS Mincho" w:hAnsi="Söhne" w:cs="Arial"/>
          <w:sz w:val="18"/>
          <w:szCs w:val="18"/>
          <w:highlight w:val="yellow"/>
          <w:u w:val="double"/>
          <w:lang w:val="en-IE"/>
        </w:rPr>
        <w:t>doi</w:t>
      </w:r>
      <w:proofErr w:type="spellEnd"/>
      <w:r w:rsidRPr="00BE7ACA">
        <w:rPr>
          <w:rFonts w:ascii="Söhne" w:eastAsia="MS Mincho" w:hAnsi="Söhne" w:cs="Arial"/>
          <w:sz w:val="18"/>
          <w:szCs w:val="18"/>
          <w:highlight w:val="yellow"/>
          <w:u w:val="double"/>
          <w:lang w:val="en-IE"/>
        </w:rPr>
        <w:t xml:space="preserve">: 10.1016/j.ijfoodmicro.2010.07.039. </w:t>
      </w:r>
      <w:proofErr w:type="spellStart"/>
      <w:r w:rsidRPr="00BE7ACA">
        <w:rPr>
          <w:rFonts w:ascii="Söhne" w:eastAsia="MS Mincho" w:hAnsi="Söhne" w:cs="Arial"/>
          <w:sz w:val="18"/>
          <w:szCs w:val="18"/>
          <w:highlight w:val="yellow"/>
          <w:u w:val="double"/>
          <w:lang w:val="en-IE"/>
        </w:rPr>
        <w:t>Epub</w:t>
      </w:r>
      <w:proofErr w:type="spellEnd"/>
      <w:r w:rsidRPr="00BE7ACA">
        <w:rPr>
          <w:rFonts w:ascii="Söhne" w:eastAsia="MS Mincho" w:hAnsi="Söhne" w:cs="Arial"/>
          <w:sz w:val="18"/>
          <w:szCs w:val="18"/>
          <w:highlight w:val="yellow"/>
          <w:u w:val="double"/>
          <w:lang w:val="en-IE"/>
        </w:rPr>
        <w:t xml:space="preserve"> 2010 Aug 10. PMID: 20826037.</w:t>
      </w:r>
    </w:p>
    <w:p w14:paraId="59B41A60" w14:textId="0765C0F6" w:rsidR="00F65625" w:rsidRPr="00AA5E0A" w:rsidRDefault="0082681A" w:rsidP="00D63ACB">
      <w:pPr>
        <w:pStyle w:val="Ref"/>
        <w:spacing w:after="200"/>
        <w:rPr>
          <w:smallCaps/>
          <w:lang w:val="en-IE"/>
        </w:rPr>
      </w:pPr>
      <w:r w:rsidRPr="00AA5E0A">
        <w:rPr>
          <w:smallCaps/>
        </w:rPr>
        <w:t xml:space="preserve">World Health Organization </w:t>
      </w:r>
      <w:r w:rsidR="00371520" w:rsidRPr="00AA5E0A">
        <w:rPr>
          <w:smallCaps/>
          <w:lang w:val="en-IE"/>
        </w:rPr>
        <w:t xml:space="preserve">(WHO) </w:t>
      </w:r>
      <w:r w:rsidRPr="00AA5E0A">
        <w:rPr>
          <w:smallCaps/>
        </w:rPr>
        <w:t xml:space="preserve">(1965). </w:t>
      </w:r>
      <w:r w:rsidRPr="00AA5E0A">
        <w:rPr>
          <w:iCs/>
          <w:lang w:val="en-IE"/>
        </w:rPr>
        <w:t>General Requirements for Manufacturing Establishments and Control Laboratories</w:t>
      </w:r>
      <w:r w:rsidRPr="00AA5E0A">
        <w:rPr>
          <w:lang w:val="en-IE"/>
        </w:rPr>
        <w:t xml:space="preserve">: </w:t>
      </w:r>
      <w:r w:rsidR="00F65625" w:rsidRPr="00AA5E0A">
        <w:rPr>
          <w:lang w:val="en-IE"/>
        </w:rPr>
        <w:t xml:space="preserve">Distribution of aliquots of vaccine into </w:t>
      </w:r>
      <w:r w:rsidRPr="00AA5E0A">
        <w:rPr>
          <w:lang w:val="en-IE"/>
        </w:rPr>
        <w:t xml:space="preserve">single and multidose containers. </w:t>
      </w:r>
      <w:r w:rsidR="00F65625" w:rsidRPr="00AA5E0A">
        <w:rPr>
          <w:lang w:val="en-IE"/>
        </w:rPr>
        <w:t xml:space="preserve">Requirements </w:t>
      </w:r>
      <w:r w:rsidRPr="00AA5E0A">
        <w:rPr>
          <w:lang w:val="en-IE"/>
        </w:rPr>
        <w:t>for Biological Substances No. 1.</w:t>
      </w:r>
      <w:r w:rsidR="00F65625" w:rsidRPr="00AA5E0A">
        <w:rPr>
          <w:lang w:val="en-IE"/>
        </w:rPr>
        <w:t xml:space="preserve"> </w:t>
      </w:r>
      <w:r w:rsidRPr="00AA5E0A">
        <w:rPr>
          <w:lang w:val="en-IE"/>
        </w:rPr>
        <w:t>WHO Technical Report No. 363. WHO, Geneva, Switzerland</w:t>
      </w:r>
      <w:r w:rsidRPr="00AA5E0A">
        <w:rPr>
          <w:iCs/>
          <w:lang w:val="en-IE"/>
        </w:rPr>
        <w:t>,</w:t>
      </w:r>
      <w:r w:rsidRPr="00AA5E0A">
        <w:rPr>
          <w:lang w:val="en-IE"/>
        </w:rPr>
        <w:t xml:space="preserve"> </w:t>
      </w:r>
      <w:r w:rsidR="00F65625" w:rsidRPr="00AA5E0A">
        <w:rPr>
          <w:lang w:val="en-IE"/>
        </w:rPr>
        <w:t>16–17.</w:t>
      </w:r>
    </w:p>
    <w:p w14:paraId="59B41A61" w14:textId="43795DFF" w:rsidR="00B40CBD" w:rsidRPr="00AA5E0A" w:rsidRDefault="00B40CBD" w:rsidP="00D63ACB">
      <w:pPr>
        <w:pStyle w:val="Ref"/>
        <w:spacing w:after="200"/>
        <w:rPr>
          <w:lang w:val="en-IE"/>
        </w:rPr>
      </w:pPr>
      <w:r w:rsidRPr="00AA5E0A">
        <w:rPr>
          <w:smallCaps/>
          <w:lang w:val="en-IE"/>
        </w:rPr>
        <w:t>World Health Organization</w:t>
      </w:r>
      <w:r w:rsidR="00371520" w:rsidRPr="00AA5E0A">
        <w:rPr>
          <w:smallCaps/>
          <w:lang w:val="en-IE"/>
        </w:rPr>
        <w:t xml:space="preserve"> (WHO)</w:t>
      </w:r>
      <w:r w:rsidRPr="00AA5E0A">
        <w:rPr>
          <w:smallCaps/>
          <w:lang w:val="en-IE"/>
        </w:rPr>
        <w:t xml:space="preserve"> </w:t>
      </w:r>
      <w:r w:rsidRPr="00AA5E0A">
        <w:rPr>
          <w:lang w:val="en-IE"/>
        </w:rPr>
        <w:t xml:space="preserve">(1967). </w:t>
      </w:r>
      <w:r w:rsidR="0082681A" w:rsidRPr="00AA5E0A">
        <w:t xml:space="preserve">World Health Organization Expert </w:t>
      </w:r>
      <w:r w:rsidR="0082681A" w:rsidRPr="00AA5E0A">
        <w:rPr>
          <w:lang w:val="en-IE"/>
        </w:rPr>
        <w:t xml:space="preserve">Committee on Biological Standardization </w:t>
      </w:r>
      <w:r w:rsidRPr="00AA5E0A">
        <w:rPr>
          <w:lang w:val="en-IE"/>
        </w:rPr>
        <w:t>Requirements for Anthrax Spore Vaccine</w:t>
      </w:r>
      <w:r w:rsidR="0082681A" w:rsidRPr="00AA5E0A">
        <w:rPr>
          <w:lang w:val="en-IE"/>
        </w:rPr>
        <w:t xml:space="preserve"> </w:t>
      </w:r>
      <w:r w:rsidRPr="00AA5E0A">
        <w:rPr>
          <w:lang w:val="en-IE"/>
        </w:rPr>
        <w:t>(Live – for</w:t>
      </w:r>
      <w:r w:rsidR="00D21CE6" w:rsidRPr="00AA5E0A">
        <w:rPr>
          <w:lang w:val="en-IE"/>
        </w:rPr>
        <w:t xml:space="preserve"> </w:t>
      </w:r>
      <w:r w:rsidR="00B93AA3" w:rsidRPr="00AA5E0A">
        <w:rPr>
          <w:lang w:val="en-IE"/>
        </w:rPr>
        <w:t xml:space="preserve">Veterinary Use). </w:t>
      </w:r>
      <w:r w:rsidRPr="00AA5E0A">
        <w:rPr>
          <w:lang w:val="en-IE"/>
        </w:rPr>
        <w:t>Requirements for</w:t>
      </w:r>
      <w:r w:rsidR="00D21CE6" w:rsidRPr="00AA5E0A">
        <w:rPr>
          <w:lang w:val="en-IE"/>
        </w:rPr>
        <w:t xml:space="preserve"> </w:t>
      </w:r>
      <w:r w:rsidRPr="00AA5E0A">
        <w:rPr>
          <w:lang w:val="en-IE"/>
        </w:rPr>
        <w:t>Bio</w:t>
      </w:r>
      <w:r w:rsidR="00740008" w:rsidRPr="00AA5E0A">
        <w:rPr>
          <w:lang w:val="en-IE"/>
        </w:rPr>
        <w:t>l</w:t>
      </w:r>
      <w:r w:rsidRPr="00AA5E0A">
        <w:rPr>
          <w:lang w:val="en-IE"/>
        </w:rPr>
        <w:t>ogical Substances No. 13. WHO Technical Report Series No. 361. WHO, Geneva, Switzerland.</w:t>
      </w:r>
    </w:p>
    <w:p w14:paraId="59B41A62" w14:textId="3706177C" w:rsidR="0082681A" w:rsidRPr="00AA5E0A" w:rsidRDefault="0082681A" w:rsidP="0082681A">
      <w:pPr>
        <w:pStyle w:val="Ref"/>
        <w:rPr>
          <w:lang w:val="en-IE"/>
        </w:rPr>
      </w:pPr>
      <w:r w:rsidRPr="00AA5E0A">
        <w:rPr>
          <w:smallCaps/>
          <w:lang w:val="en-IE"/>
        </w:rPr>
        <w:lastRenderedPageBreak/>
        <w:t xml:space="preserve">World Health Organization </w:t>
      </w:r>
      <w:r w:rsidR="00371520" w:rsidRPr="00AA5E0A">
        <w:rPr>
          <w:smallCaps/>
          <w:lang w:val="en-IE"/>
        </w:rPr>
        <w:t xml:space="preserve">(WHO) </w:t>
      </w:r>
      <w:r w:rsidRPr="00AA5E0A">
        <w:rPr>
          <w:lang w:val="en-IE"/>
        </w:rPr>
        <w:t>(2008). Anthrax in humans and animals, Fourth Edition. WHO Press, World Health Organization</w:t>
      </w:r>
      <w:r w:rsidRPr="00AA5E0A">
        <w:rPr>
          <w:i/>
          <w:iCs/>
          <w:lang w:val="en-IE"/>
        </w:rPr>
        <w:t xml:space="preserve">, </w:t>
      </w:r>
      <w:r w:rsidRPr="00AA5E0A">
        <w:rPr>
          <w:lang w:val="en-IE"/>
        </w:rPr>
        <w:t>Geneva, Switzerland.</w:t>
      </w:r>
    </w:p>
    <w:p w14:paraId="59B41A63" w14:textId="77777777" w:rsidR="00B40CBD" w:rsidRPr="00AA5E0A" w:rsidRDefault="00B40CBD" w:rsidP="007A31DF">
      <w:pPr>
        <w:pStyle w:val="rtoiles"/>
        <w:rPr>
          <w:lang w:val="en-IE"/>
        </w:rPr>
      </w:pPr>
      <w:r w:rsidRPr="00AA5E0A">
        <w:rPr>
          <w:lang w:val="en-IE"/>
        </w:rPr>
        <w:t>*</w:t>
      </w:r>
      <w:r w:rsidRPr="00AA5E0A">
        <w:rPr>
          <w:lang w:val="en-IE"/>
        </w:rPr>
        <w:br/>
        <w:t>*   *</w:t>
      </w:r>
    </w:p>
    <w:p w14:paraId="59B41A64" w14:textId="726C0948" w:rsidR="00B40CBD" w:rsidRPr="0070204A" w:rsidRDefault="00B40CBD" w:rsidP="001506C8">
      <w:pPr>
        <w:tabs>
          <w:tab w:val="clear" w:pos="-720"/>
        </w:tabs>
        <w:spacing w:before="120" w:after="240" w:line="240" w:lineRule="auto"/>
        <w:jc w:val="center"/>
        <w:rPr>
          <w:rFonts w:ascii="Söhne" w:hAnsi="Söhne" w:cs="Arial"/>
          <w:sz w:val="18"/>
          <w:szCs w:val="18"/>
          <w:lang w:val="en-IE"/>
        </w:rPr>
      </w:pPr>
      <w:r w:rsidRPr="0070204A">
        <w:rPr>
          <w:rFonts w:ascii="Söhne" w:hAnsi="Söhne" w:cs="Arial"/>
          <w:b/>
          <w:bCs/>
          <w:sz w:val="18"/>
          <w:szCs w:val="18"/>
          <w:lang w:val="en-IE"/>
        </w:rPr>
        <w:t>NB:</w:t>
      </w:r>
      <w:r w:rsidRPr="0070204A">
        <w:rPr>
          <w:rFonts w:ascii="Söhne" w:hAnsi="Söhne" w:cs="Arial"/>
          <w:sz w:val="18"/>
          <w:szCs w:val="18"/>
          <w:lang w:val="en-IE"/>
        </w:rPr>
        <w:t xml:space="preserve"> There are </w:t>
      </w:r>
      <w:r w:rsidR="0070204A" w:rsidRPr="0070204A">
        <w:rPr>
          <w:rFonts w:ascii="Söhne" w:hAnsi="Söhne" w:cs="Arial"/>
          <w:sz w:val="18"/>
          <w:szCs w:val="18"/>
          <w:lang w:val="en-IE"/>
        </w:rPr>
        <w:t>WOAH</w:t>
      </w:r>
      <w:r w:rsidRPr="0070204A">
        <w:rPr>
          <w:rFonts w:ascii="Söhne" w:hAnsi="Söhne" w:cs="Arial"/>
          <w:sz w:val="18"/>
          <w:szCs w:val="18"/>
          <w:lang w:val="en-IE"/>
        </w:rPr>
        <w:t xml:space="preserve"> Reference Laboratories for </w:t>
      </w:r>
      <w:r w:rsidR="00D266E0" w:rsidRPr="0070204A">
        <w:rPr>
          <w:rFonts w:ascii="Söhne" w:hAnsi="Söhne" w:cs="Arial"/>
          <w:sz w:val="18"/>
          <w:szCs w:val="18"/>
          <w:lang w:val="en-IE"/>
        </w:rPr>
        <w:t xml:space="preserve">anthrax </w:t>
      </w:r>
      <w:r w:rsidR="00D266E0" w:rsidRPr="0070204A">
        <w:rPr>
          <w:rStyle w:val="ReflabnoteCar"/>
          <w:rFonts w:ascii="Söhne" w:hAnsi="Söhne"/>
        </w:rPr>
        <w:t xml:space="preserve">(please consult the </w:t>
      </w:r>
      <w:r w:rsidR="0070204A" w:rsidRPr="0070204A">
        <w:rPr>
          <w:rStyle w:val="ReflabnoteCar"/>
          <w:rFonts w:ascii="Söhne" w:hAnsi="Söhne"/>
        </w:rPr>
        <w:t>WOAH</w:t>
      </w:r>
      <w:r w:rsidR="00D266E0" w:rsidRPr="0070204A">
        <w:rPr>
          <w:rStyle w:val="ReflabnoteCar"/>
          <w:rFonts w:ascii="Söhne" w:hAnsi="Söhne"/>
        </w:rPr>
        <w:t xml:space="preserve"> Web site: </w:t>
      </w:r>
      <w:r w:rsidR="00D266E0" w:rsidRPr="0070204A">
        <w:rPr>
          <w:rStyle w:val="ReflabnoteCar"/>
          <w:rFonts w:ascii="Söhne" w:hAnsi="Söhne"/>
        </w:rPr>
        <w:br/>
      </w:r>
      <w:hyperlink r:id="rId12" w:anchor="ui-id-3" w:history="1">
        <w:r w:rsidR="0070204A" w:rsidRPr="0070204A">
          <w:rPr>
            <w:rStyle w:val="Hyperlink"/>
            <w:rFonts w:ascii="Söhne" w:hAnsi="Söhne"/>
            <w:sz w:val="18"/>
            <w:szCs w:val="18"/>
          </w:rPr>
          <w:t>https://www.woah.org/en/what-we-offer/expertise-network/reference-laboratories/#ui-id-3</w:t>
        </w:r>
      </w:hyperlink>
      <w:r w:rsidR="00D266E0" w:rsidRPr="0070204A">
        <w:rPr>
          <w:rStyle w:val="ReflabnoteCar"/>
          <w:rFonts w:ascii="Söhne" w:hAnsi="Söhne"/>
        </w:rPr>
        <w:t>).</w:t>
      </w:r>
      <w:r w:rsidR="000F5507" w:rsidRPr="0070204A">
        <w:rPr>
          <w:rStyle w:val="ReflabnoteCar"/>
          <w:rFonts w:ascii="Söhne" w:hAnsi="Söhne"/>
        </w:rPr>
        <w:br/>
      </w:r>
      <w:r w:rsidR="00D8470F" w:rsidRPr="0070204A">
        <w:rPr>
          <w:rFonts w:ascii="Söhne" w:hAnsi="Söhne" w:cs="Arial"/>
          <w:sz w:val="18"/>
          <w:szCs w:val="18"/>
          <w:lang w:val="en-IE"/>
        </w:rPr>
        <w:t xml:space="preserve">Please contact the </w:t>
      </w:r>
      <w:r w:rsidR="0070204A">
        <w:rPr>
          <w:rFonts w:ascii="Söhne" w:hAnsi="Söhne" w:cs="Arial"/>
          <w:sz w:val="18"/>
          <w:szCs w:val="18"/>
          <w:lang w:val="en-IE"/>
        </w:rPr>
        <w:t>WOAH</w:t>
      </w:r>
      <w:r w:rsidR="00D8470F" w:rsidRPr="0070204A">
        <w:rPr>
          <w:rFonts w:ascii="Söhne" w:hAnsi="Söhne" w:cs="Arial"/>
          <w:sz w:val="18"/>
          <w:szCs w:val="18"/>
          <w:lang w:val="en-IE"/>
        </w:rPr>
        <w:t xml:space="preserve"> Reference Laboratories for any further information on </w:t>
      </w:r>
      <w:r w:rsidR="00D8470F" w:rsidRPr="0070204A">
        <w:rPr>
          <w:rFonts w:ascii="Söhne" w:hAnsi="Söhne" w:cs="Arial"/>
          <w:sz w:val="18"/>
          <w:szCs w:val="18"/>
          <w:lang w:val="en-IE"/>
        </w:rPr>
        <w:br/>
        <w:t>anthrax diagnostic tests, reagents and vaccines</w:t>
      </w:r>
    </w:p>
    <w:p w14:paraId="59B41A65" w14:textId="3D96507A" w:rsidR="001506C8" w:rsidRPr="00371520" w:rsidRDefault="001506C8" w:rsidP="001506C8">
      <w:pPr>
        <w:spacing w:after="240" w:line="240" w:lineRule="auto"/>
        <w:jc w:val="center"/>
        <w:rPr>
          <w:rFonts w:ascii="Söhne" w:hAnsi="Söhne" w:cs="Arial"/>
          <w:sz w:val="18"/>
          <w:szCs w:val="18"/>
          <w:lang w:val="en-IE"/>
        </w:rPr>
      </w:pPr>
      <w:r w:rsidRPr="00AA5E0A">
        <w:rPr>
          <w:rFonts w:ascii="Söhne" w:hAnsi="Söhne" w:cs="Arial"/>
          <w:b/>
          <w:smallCaps/>
          <w:sz w:val="18"/>
          <w:szCs w:val="18"/>
        </w:rPr>
        <w:t>NB:</w:t>
      </w:r>
      <w:r w:rsidRPr="00AA5E0A">
        <w:rPr>
          <w:rFonts w:ascii="Söhne" w:hAnsi="Söhne" w:cs="Arial"/>
          <w:smallCaps/>
          <w:sz w:val="18"/>
          <w:szCs w:val="18"/>
        </w:rPr>
        <w:t xml:space="preserve"> First adopted in 1989</w:t>
      </w:r>
      <w:r w:rsidR="00937658" w:rsidRPr="00AA5E0A">
        <w:rPr>
          <w:rFonts w:ascii="Söhne" w:hAnsi="Söhne" w:cs="Arial"/>
          <w:smallCaps/>
          <w:sz w:val="18"/>
          <w:szCs w:val="18"/>
        </w:rPr>
        <w:t>.</w:t>
      </w:r>
      <w:r w:rsidRPr="00AA5E0A">
        <w:rPr>
          <w:rFonts w:ascii="Söhne" w:hAnsi="Söhne" w:cs="Arial"/>
          <w:smallCaps/>
          <w:sz w:val="18"/>
          <w:szCs w:val="18"/>
        </w:rPr>
        <w:t xml:space="preserve"> Most recent updates adopted in 201</w:t>
      </w:r>
      <w:r w:rsidR="009833C4" w:rsidRPr="00AA5E0A">
        <w:rPr>
          <w:rFonts w:ascii="Söhne" w:hAnsi="Söhne" w:cs="Arial"/>
          <w:smallCaps/>
          <w:sz w:val="18"/>
          <w:szCs w:val="18"/>
        </w:rPr>
        <w:t>8</w:t>
      </w:r>
      <w:r w:rsidR="00241D6E" w:rsidRPr="00AA5E0A">
        <w:rPr>
          <w:rFonts w:ascii="Söhne" w:hAnsi="Söhne" w:cs="Arial"/>
          <w:smallCaps/>
          <w:sz w:val="18"/>
          <w:szCs w:val="18"/>
        </w:rPr>
        <w:t>.</w:t>
      </w:r>
    </w:p>
    <w:p w14:paraId="59B41A66" w14:textId="77777777" w:rsidR="001B2579" w:rsidRPr="00D65E92" w:rsidRDefault="001B2579" w:rsidP="00D8470F">
      <w:pPr>
        <w:tabs>
          <w:tab w:val="clear" w:pos="-720"/>
        </w:tabs>
        <w:spacing w:before="120" w:line="240" w:lineRule="auto"/>
        <w:jc w:val="center"/>
        <w:rPr>
          <w:rFonts w:ascii="Arial" w:hAnsi="Arial" w:cs="Arial"/>
          <w:sz w:val="18"/>
          <w:szCs w:val="18"/>
          <w:lang w:val="en-IE"/>
        </w:rPr>
      </w:pPr>
    </w:p>
    <w:sectPr w:rsidR="001B2579" w:rsidRPr="00D65E92" w:rsidSect="00E569E7">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1001" w:other="1001"/>
      <w:lnNumType w:countBy="1"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573F" w14:textId="77777777" w:rsidR="0058108C" w:rsidRDefault="0058108C">
      <w:r>
        <w:separator/>
      </w:r>
    </w:p>
  </w:endnote>
  <w:endnote w:type="continuationSeparator" w:id="0">
    <w:p w14:paraId="3C54EAB5" w14:textId="77777777" w:rsidR="0058108C" w:rsidRDefault="0058108C">
      <w:r>
        <w:continuationSeparator/>
      </w:r>
    </w:p>
  </w:endnote>
  <w:endnote w:type="continuationNotice" w:id="1">
    <w:p w14:paraId="0CED2951" w14:textId="77777777" w:rsidR="0058108C" w:rsidRDefault="005810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6F" w14:textId="24A6E006" w:rsidR="00423DC5" w:rsidRPr="007531A7" w:rsidRDefault="00423DC5" w:rsidP="00B36009">
    <w:pPr>
      <w:pStyle w:val="Footer"/>
    </w:pPr>
    <w:r>
      <w:fldChar w:fldCharType="begin"/>
    </w:r>
    <w:r>
      <w:instrText>PAGE</w:instrText>
    </w:r>
    <w:r>
      <w:fldChar w:fldCharType="separate"/>
    </w:r>
    <w:r w:rsidR="00DC3896">
      <w:rPr>
        <w:noProof/>
      </w:rPr>
      <w:t>4</w:t>
    </w:r>
    <w:r>
      <w:fldChar w:fldCharType="end"/>
    </w:r>
    <w:r>
      <w:tab/>
    </w:r>
    <w:r w:rsidR="0070204A">
      <w:t>WOAH</w:t>
    </w:r>
    <w:r>
      <w:t xml:space="preserve"> </w:t>
    </w:r>
    <w:r w:rsidRPr="0060739B">
      <w:rPr>
        <w:i/>
        <w:iCs/>
      </w:rPr>
      <w:t>Terrestrial</w:t>
    </w:r>
    <w:r>
      <w:rPr>
        <w:i/>
        <w:iCs/>
      </w:rPr>
      <w:t xml:space="preserve"> Manual</w:t>
    </w:r>
    <w:r>
      <w:t xml:space="preserve"> 20</w:t>
    </w:r>
    <w:r w:rsidR="00E569E7">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70" w14:textId="4E2486D6" w:rsidR="00423DC5" w:rsidRPr="007531A7" w:rsidRDefault="0070204A" w:rsidP="00B36009">
    <w:pPr>
      <w:pStyle w:val="Footer"/>
    </w:pPr>
    <w:r>
      <w:t>WOAH</w:t>
    </w:r>
    <w:r w:rsidR="00423DC5">
      <w:t xml:space="preserve"> </w:t>
    </w:r>
    <w:r w:rsidR="00423DC5" w:rsidRPr="0060739B">
      <w:rPr>
        <w:i/>
        <w:iCs/>
      </w:rPr>
      <w:t>Terrestrial</w:t>
    </w:r>
    <w:r w:rsidR="00423DC5">
      <w:rPr>
        <w:i/>
        <w:iCs/>
      </w:rPr>
      <w:t xml:space="preserve"> Manual</w:t>
    </w:r>
    <w:r w:rsidR="00423DC5">
      <w:t xml:space="preserve"> 20</w:t>
    </w:r>
    <w:r w:rsidR="00E569E7">
      <w:t>23</w:t>
    </w:r>
    <w:r w:rsidR="00423DC5">
      <w:rPr>
        <w:sz w:val="18"/>
        <w:szCs w:val="18"/>
      </w:rPr>
      <w:tab/>
    </w:r>
    <w:r w:rsidR="00423DC5">
      <w:fldChar w:fldCharType="begin"/>
    </w:r>
    <w:r w:rsidR="00423DC5">
      <w:instrText>PAGE</w:instrText>
    </w:r>
    <w:r w:rsidR="00423DC5">
      <w:fldChar w:fldCharType="separate"/>
    </w:r>
    <w:r w:rsidR="00DC3896">
      <w:rPr>
        <w:noProof/>
      </w:rPr>
      <w:t>5</w:t>
    </w:r>
    <w:r w:rsidR="00423DC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72" w14:textId="0BD2C150" w:rsidR="00423DC5" w:rsidRPr="002E7968" w:rsidRDefault="0070204A" w:rsidP="00B36009">
    <w:pPr>
      <w:pStyle w:val="Footer"/>
    </w:pPr>
    <w:r>
      <w:t>WOAH</w:t>
    </w:r>
    <w:r w:rsidR="00423DC5">
      <w:t xml:space="preserve"> </w:t>
    </w:r>
    <w:r w:rsidR="00423DC5" w:rsidRPr="0060739B">
      <w:rPr>
        <w:i/>
        <w:iCs/>
      </w:rPr>
      <w:t>Terrestrial</w:t>
    </w:r>
    <w:r w:rsidR="00423DC5">
      <w:rPr>
        <w:i/>
        <w:iCs/>
      </w:rPr>
      <w:t xml:space="preserve"> Manual</w:t>
    </w:r>
    <w:r w:rsidR="00423DC5">
      <w:t xml:space="preserve"> 20</w:t>
    </w:r>
    <w:r w:rsidR="00E569E7">
      <w:t>23</w:t>
    </w:r>
    <w:r w:rsidR="00423DC5">
      <w:rPr>
        <w:sz w:val="18"/>
        <w:szCs w:val="18"/>
      </w:rPr>
      <w:tab/>
    </w:r>
    <w:r w:rsidR="00423DC5">
      <w:fldChar w:fldCharType="begin"/>
    </w:r>
    <w:r w:rsidR="00423DC5">
      <w:instrText>PAGE</w:instrText>
    </w:r>
    <w:r w:rsidR="00423DC5">
      <w:fldChar w:fldCharType="separate"/>
    </w:r>
    <w:r w:rsidR="006629E2">
      <w:rPr>
        <w:noProof/>
      </w:rPr>
      <w:t>3</w:t>
    </w:r>
    <w:r w:rsidR="00423D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0BC0" w14:textId="77777777" w:rsidR="0058108C" w:rsidRDefault="0058108C">
      <w:r>
        <w:separator/>
      </w:r>
    </w:p>
  </w:footnote>
  <w:footnote w:type="continuationSeparator" w:id="0">
    <w:p w14:paraId="08616AD3" w14:textId="77777777" w:rsidR="0058108C" w:rsidRDefault="0058108C">
      <w:r>
        <w:continuationSeparator/>
      </w:r>
    </w:p>
  </w:footnote>
  <w:footnote w:type="continuationNotice" w:id="1">
    <w:p w14:paraId="24EA7E18" w14:textId="77777777" w:rsidR="0058108C" w:rsidRDefault="0058108C">
      <w:pPr>
        <w:spacing w:line="240" w:lineRule="auto"/>
      </w:pPr>
    </w:p>
  </w:footnote>
  <w:footnote w:id="2">
    <w:p w14:paraId="59B41A76" w14:textId="35A144AF" w:rsidR="00423DC5" w:rsidRPr="00CC246E" w:rsidRDefault="00423DC5" w:rsidP="00091824">
      <w:pPr>
        <w:autoSpaceDE w:val="0"/>
        <w:autoSpaceDN w:val="0"/>
        <w:adjustRightInd w:val="0"/>
        <w:spacing w:line="240" w:lineRule="auto"/>
        <w:ind w:left="425" w:hanging="425"/>
        <w:rPr>
          <w:rFonts w:ascii="Söhne" w:hAnsi="Söhne" w:cs="Arial"/>
          <w:sz w:val="16"/>
          <w:szCs w:val="16"/>
        </w:rPr>
      </w:pPr>
      <w:r w:rsidRPr="00371520">
        <w:rPr>
          <w:rStyle w:val="FootnoteReference"/>
          <w:rFonts w:ascii="Söhne" w:hAnsi="Söhne" w:cs="Arial"/>
          <w:sz w:val="16"/>
          <w:szCs w:val="16"/>
          <w:vertAlign w:val="baseline"/>
        </w:rPr>
        <w:footnoteRef/>
      </w:r>
      <w:r w:rsidRPr="00371520">
        <w:rPr>
          <w:rFonts w:ascii="Söhne" w:hAnsi="Söhne" w:cs="Arial"/>
          <w:sz w:val="16"/>
          <w:szCs w:val="16"/>
        </w:rPr>
        <w:tab/>
      </w:r>
      <w:bookmarkStart w:id="1" w:name="_Hlk113550760"/>
      <w:r w:rsidR="00CC246E">
        <w:rPr>
          <w:rFonts w:ascii="Söhne" w:hAnsi="Söhne" w:cs="Arial"/>
          <w:sz w:val="16"/>
          <w:szCs w:val="16"/>
        </w:rPr>
        <w:t xml:space="preserve">UK </w:t>
      </w:r>
      <w:r w:rsidRPr="00CC246E">
        <w:rPr>
          <w:rFonts w:ascii="Söhne" w:hAnsi="Söhne" w:cs="Arial"/>
          <w:sz w:val="16"/>
          <w:szCs w:val="16"/>
        </w:rPr>
        <w:t xml:space="preserve">Health </w:t>
      </w:r>
      <w:r w:rsidR="00CC246E">
        <w:rPr>
          <w:rFonts w:ascii="Söhne" w:hAnsi="Söhne" w:cs="Arial"/>
          <w:sz w:val="16"/>
          <w:szCs w:val="16"/>
        </w:rPr>
        <w:t>Security</w:t>
      </w:r>
      <w:r w:rsidR="00657095">
        <w:rPr>
          <w:rFonts w:ascii="Söhne" w:hAnsi="Söhne" w:cs="Arial"/>
          <w:sz w:val="16"/>
          <w:szCs w:val="16"/>
        </w:rPr>
        <w:t xml:space="preserve"> </w:t>
      </w:r>
      <w:r w:rsidR="00657095" w:rsidRPr="00AB46F7">
        <w:rPr>
          <w:rFonts w:ascii="Söhne" w:hAnsi="Söhne" w:cs="Arial"/>
          <w:sz w:val="16"/>
          <w:szCs w:val="16"/>
          <w:highlight w:val="yellow"/>
          <w:u w:val="double"/>
        </w:rPr>
        <w:t>Agency</w:t>
      </w:r>
      <w:r w:rsidRPr="00CC246E">
        <w:rPr>
          <w:rFonts w:ascii="Söhne" w:hAnsi="Söhne" w:cs="Arial"/>
          <w:sz w:val="16"/>
          <w:szCs w:val="16"/>
        </w:rPr>
        <w:t>, Microbiology Services, Porton Down, Salisbury SP4 0JG, UK (</w:t>
      </w:r>
      <w:hyperlink r:id="rId1" w:history="1">
        <w:r w:rsidR="00AB46F7" w:rsidRPr="00394143">
          <w:rPr>
            <w:rStyle w:val="Hyperlink"/>
            <w:rFonts w:ascii="Söhne" w:hAnsi="Söhne"/>
            <w:sz w:val="16"/>
            <w:szCs w:val="16"/>
          </w:rPr>
          <w:t>www.culturecollections.org.uk/</w:t>
        </w:r>
      </w:hyperlink>
      <w:r w:rsidRPr="00CC246E">
        <w:rPr>
          <w:rFonts w:ascii="Söhne" w:hAnsi="Söhne" w:cs="Arial"/>
          <w:sz w:val="16"/>
          <w:szCs w:val="16"/>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6D" w14:textId="1355D97F" w:rsidR="00423DC5" w:rsidRPr="007531A7" w:rsidRDefault="00423DC5" w:rsidP="00B36009">
    <w:pPr>
      <w:pStyle w:val="Header"/>
    </w:pPr>
    <w:r>
      <w:t xml:space="preserve">Chapter </w:t>
    </w:r>
    <w:r w:rsidR="00D63ACB">
      <w:t>3</w:t>
    </w:r>
    <w:r>
      <w:t>.1.1. – Anthrax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6E" w14:textId="23F81277" w:rsidR="00423DC5" w:rsidRPr="007531A7" w:rsidRDefault="00423DC5" w:rsidP="00B36009">
    <w:pPr>
      <w:pStyle w:val="Header"/>
    </w:pPr>
    <w:r>
      <w:t xml:space="preserve">Chapter </w:t>
    </w:r>
    <w:r w:rsidR="00D63ACB">
      <w:t>3</w:t>
    </w:r>
    <w:r>
      <w:t>.1.1. – Anthrax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A71" w14:textId="0A912ED6" w:rsidR="00423DC5" w:rsidRPr="009833C4" w:rsidRDefault="00423DC5" w:rsidP="00B36009">
    <w:pPr>
      <w:pStyle w:val="Header"/>
      <w:pBdr>
        <w:bottom w:val="none" w:sz="0" w:space="0" w:color="auto"/>
      </w:pBdr>
      <w:rPr>
        <w:rFonts w:ascii="Ottawa" w:hAnsi="Ottawa"/>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22"/>
    <w:multiLevelType w:val="hybridMultilevel"/>
    <w:tmpl w:val="411AE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52532A"/>
    <w:multiLevelType w:val="hybridMultilevel"/>
    <w:tmpl w:val="18C22DC2"/>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0B161D7"/>
    <w:multiLevelType w:val="multilevel"/>
    <w:tmpl w:val="667ACB88"/>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24FD3C72"/>
    <w:multiLevelType w:val="hybridMultilevel"/>
    <w:tmpl w:val="277AFF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43441C7"/>
    <w:multiLevelType w:val="hybridMultilevel"/>
    <w:tmpl w:val="667ACB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15:restartNumberingAfterBreak="0">
    <w:nsid w:val="697C7FD3"/>
    <w:multiLevelType w:val="multilevel"/>
    <w:tmpl w:val="3192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52A98"/>
    <w:multiLevelType w:val="hybridMultilevel"/>
    <w:tmpl w:val="B7F00E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abstractNum>
  <w:abstractNum w:abstractNumId="8" w15:restartNumberingAfterBreak="0">
    <w:nsid w:val="797724A6"/>
    <w:multiLevelType w:val="hybridMultilevel"/>
    <w:tmpl w:val="65C219B6"/>
    <w:lvl w:ilvl="0" w:tplc="BB0AE04A">
      <w:start w:val="4"/>
      <w:numFmt w:val="decimal"/>
      <w:lvlText w:val="%1."/>
      <w:lvlJc w:val="left"/>
      <w:pPr>
        <w:tabs>
          <w:tab w:val="num" w:pos="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abstractNum>
  <w:num w:numId="1" w16cid:durableId="231279864">
    <w:abstractNumId w:val="7"/>
  </w:num>
  <w:num w:numId="2" w16cid:durableId="821576702">
    <w:abstractNumId w:val="9"/>
  </w:num>
  <w:num w:numId="3" w16cid:durableId="743263696">
    <w:abstractNumId w:val="9"/>
    <w:lvlOverride w:ilvl="0">
      <w:lvl w:ilvl="0">
        <w:start w:val="1"/>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lvlOverride>
  </w:num>
  <w:num w:numId="4" w16cid:durableId="627980510">
    <w:abstractNumId w:val="8"/>
  </w:num>
  <w:num w:numId="5" w16cid:durableId="1722946280">
    <w:abstractNumId w:val="0"/>
  </w:num>
  <w:num w:numId="6" w16cid:durableId="39982948">
    <w:abstractNumId w:val="1"/>
  </w:num>
  <w:num w:numId="7" w16cid:durableId="1791781893">
    <w:abstractNumId w:val="6"/>
  </w:num>
  <w:num w:numId="8" w16cid:durableId="1846549426">
    <w:abstractNumId w:val="4"/>
  </w:num>
  <w:num w:numId="9" w16cid:durableId="1269697189">
    <w:abstractNumId w:val="2"/>
  </w:num>
  <w:num w:numId="10" w16cid:durableId="664404233">
    <w:abstractNumId w:val="3"/>
  </w:num>
  <w:num w:numId="11" w16cid:durableId="1712456326">
    <w:abstractNumId w:val="5"/>
  </w:num>
  <w:num w:numId="12" w16cid:durableId="1819498709">
    <w:abstractNumId w:val="9"/>
    <w:lvlOverride w:ilvl="0">
      <w:lvl w:ilvl="0">
        <w:start w:val="1"/>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defaultTabStop w:val="720"/>
  <w:hyphenationZone w:val="425"/>
  <w:doNotHyphenateCaps/>
  <w:evenAndOddHeader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4974"/>
    <w:rsid w:val="00007FC7"/>
    <w:rsid w:val="00015944"/>
    <w:rsid w:val="00022B9D"/>
    <w:rsid w:val="0002602B"/>
    <w:rsid w:val="00033B8C"/>
    <w:rsid w:val="0003600B"/>
    <w:rsid w:val="00037F62"/>
    <w:rsid w:val="0004016F"/>
    <w:rsid w:val="0004436F"/>
    <w:rsid w:val="000449CA"/>
    <w:rsid w:val="000527F8"/>
    <w:rsid w:val="00054087"/>
    <w:rsid w:val="00055F76"/>
    <w:rsid w:val="00056F66"/>
    <w:rsid w:val="000700DD"/>
    <w:rsid w:val="00071021"/>
    <w:rsid w:val="00082989"/>
    <w:rsid w:val="00084019"/>
    <w:rsid w:val="0008446F"/>
    <w:rsid w:val="0008609F"/>
    <w:rsid w:val="00086C34"/>
    <w:rsid w:val="000904B0"/>
    <w:rsid w:val="00090FF2"/>
    <w:rsid w:val="000912B1"/>
    <w:rsid w:val="00091824"/>
    <w:rsid w:val="000934CA"/>
    <w:rsid w:val="000B6671"/>
    <w:rsid w:val="000B673A"/>
    <w:rsid w:val="000C2C68"/>
    <w:rsid w:val="000C486D"/>
    <w:rsid w:val="000D767A"/>
    <w:rsid w:val="000E3087"/>
    <w:rsid w:val="000F3351"/>
    <w:rsid w:val="000F5507"/>
    <w:rsid w:val="000F56FB"/>
    <w:rsid w:val="000F7082"/>
    <w:rsid w:val="00105299"/>
    <w:rsid w:val="00111AE3"/>
    <w:rsid w:val="0011266A"/>
    <w:rsid w:val="00112952"/>
    <w:rsid w:val="0011383A"/>
    <w:rsid w:val="00126736"/>
    <w:rsid w:val="0013096F"/>
    <w:rsid w:val="00134AC9"/>
    <w:rsid w:val="00135C97"/>
    <w:rsid w:val="00136FF5"/>
    <w:rsid w:val="00140A00"/>
    <w:rsid w:val="001411CB"/>
    <w:rsid w:val="00142804"/>
    <w:rsid w:val="00144778"/>
    <w:rsid w:val="00147952"/>
    <w:rsid w:val="001506C8"/>
    <w:rsid w:val="00151ED4"/>
    <w:rsid w:val="00152072"/>
    <w:rsid w:val="001524BC"/>
    <w:rsid w:val="00155862"/>
    <w:rsid w:val="00161756"/>
    <w:rsid w:val="00162E09"/>
    <w:rsid w:val="00170937"/>
    <w:rsid w:val="00174156"/>
    <w:rsid w:val="001749D0"/>
    <w:rsid w:val="0017764C"/>
    <w:rsid w:val="00181C95"/>
    <w:rsid w:val="0019305E"/>
    <w:rsid w:val="001A37E6"/>
    <w:rsid w:val="001A401A"/>
    <w:rsid w:val="001A75B0"/>
    <w:rsid w:val="001B2579"/>
    <w:rsid w:val="001B4006"/>
    <w:rsid w:val="001B406A"/>
    <w:rsid w:val="001B5248"/>
    <w:rsid w:val="001B612F"/>
    <w:rsid w:val="001C7138"/>
    <w:rsid w:val="001D0887"/>
    <w:rsid w:val="001D3870"/>
    <w:rsid w:val="001D415F"/>
    <w:rsid w:val="001D791D"/>
    <w:rsid w:val="001E0542"/>
    <w:rsid w:val="001E22AA"/>
    <w:rsid w:val="001E3D03"/>
    <w:rsid w:val="001E6FD7"/>
    <w:rsid w:val="001F1FF8"/>
    <w:rsid w:val="001F2DE7"/>
    <w:rsid w:val="001F7C97"/>
    <w:rsid w:val="00200285"/>
    <w:rsid w:val="00204E84"/>
    <w:rsid w:val="00207260"/>
    <w:rsid w:val="00210367"/>
    <w:rsid w:val="002104BB"/>
    <w:rsid w:val="00216EC9"/>
    <w:rsid w:val="0022516A"/>
    <w:rsid w:val="00225BB5"/>
    <w:rsid w:val="00230BE2"/>
    <w:rsid w:val="00232A1F"/>
    <w:rsid w:val="00235E73"/>
    <w:rsid w:val="0024016D"/>
    <w:rsid w:val="002416A7"/>
    <w:rsid w:val="00241C5B"/>
    <w:rsid w:val="00241D6E"/>
    <w:rsid w:val="00242A97"/>
    <w:rsid w:val="00243042"/>
    <w:rsid w:val="00243770"/>
    <w:rsid w:val="00244F51"/>
    <w:rsid w:val="00250166"/>
    <w:rsid w:val="002647D3"/>
    <w:rsid w:val="00264D9D"/>
    <w:rsid w:val="002678F1"/>
    <w:rsid w:val="00276357"/>
    <w:rsid w:val="00280D14"/>
    <w:rsid w:val="00286595"/>
    <w:rsid w:val="00290C20"/>
    <w:rsid w:val="002A3548"/>
    <w:rsid w:val="002C0D72"/>
    <w:rsid w:val="002C356F"/>
    <w:rsid w:val="002E30FD"/>
    <w:rsid w:val="002E4343"/>
    <w:rsid w:val="002E7968"/>
    <w:rsid w:val="002F351F"/>
    <w:rsid w:val="002F5702"/>
    <w:rsid w:val="003047AF"/>
    <w:rsid w:val="0031184C"/>
    <w:rsid w:val="00316CD2"/>
    <w:rsid w:val="003210C9"/>
    <w:rsid w:val="00322200"/>
    <w:rsid w:val="00324C8F"/>
    <w:rsid w:val="00325207"/>
    <w:rsid w:val="00332259"/>
    <w:rsid w:val="00333239"/>
    <w:rsid w:val="00354B16"/>
    <w:rsid w:val="003578D2"/>
    <w:rsid w:val="00367F72"/>
    <w:rsid w:val="00371520"/>
    <w:rsid w:val="0037394E"/>
    <w:rsid w:val="00375ADD"/>
    <w:rsid w:val="00394955"/>
    <w:rsid w:val="003A15DD"/>
    <w:rsid w:val="003A20D6"/>
    <w:rsid w:val="003A2269"/>
    <w:rsid w:val="003A2348"/>
    <w:rsid w:val="003A6661"/>
    <w:rsid w:val="003B0CE4"/>
    <w:rsid w:val="003B2145"/>
    <w:rsid w:val="003B254D"/>
    <w:rsid w:val="003B76B6"/>
    <w:rsid w:val="003C04DA"/>
    <w:rsid w:val="003C3129"/>
    <w:rsid w:val="003D1CB4"/>
    <w:rsid w:val="003E0CF2"/>
    <w:rsid w:val="003E3F74"/>
    <w:rsid w:val="003E758F"/>
    <w:rsid w:val="003F39F0"/>
    <w:rsid w:val="003F6159"/>
    <w:rsid w:val="003F717E"/>
    <w:rsid w:val="00404EBC"/>
    <w:rsid w:val="00406FC7"/>
    <w:rsid w:val="00410B3C"/>
    <w:rsid w:val="00410D35"/>
    <w:rsid w:val="00423DC5"/>
    <w:rsid w:val="004248D3"/>
    <w:rsid w:val="004336E3"/>
    <w:rsid w:val="0044051D"/>
    <w:rsid w:val="0044458E"/>
    <w:rsid w:val="00445E65"/>
    <w:rsid w:val="004515F1"/>
    <w:rsid w:val="00452911"/>
    <w:rsid w:val="00452DB1"/>
    <w:rsid w:val="00456931"/>
    <w:rsid w:val="00460762"/>
    <w:rsid w:val="00463A09"/>
    <w:rsid w:val="00464BF1"/>
    <w:rsid w:val="004651DE"/>
    <w:rsid w:val="00477463"/>
    <w:rsid w:val="00481000"/>
    <w:rsid w:val="00495D41"/>
    <w:rsid w:val="00497E10"/>
    <w:rsid w:val="00497F59"/>
    <w:rsid w:val="004A06DC"/>
    <w:rsid w:val="004A13D1"/>
    <w:rsid w:val="004C1FFA"/>
    <w:rsid w:val="004C62AF"/>
    <w:rsid w:val="004C6C0B"/>
    <w:rsid w:val="004D0532"/>
    <w:rsid w:val="004D0E54"/>
    <w:rsid w:val="004D1A16"/>
    <w:rsid w:val="004E457F"/>
    <w:rsid w:val="005050DB"/>
    <w:rsid w:val="005242A3"/>
    <w:rsid w:val="00524ED1"/>
    <w:rsid w:val="00524F16"/>
    <w:rsid w:val="00526B6C"/>
    <w:rsid w:val="00526B75"/>
    <w:rsid w:val="0052731D"/>
    <w:rsid w:val="005408CD"/>
    <w:rsid w:val="005451B4"/>
    <w:rsid w:val="00546C58"/>
    <w:rsid w:val="00550E50"/>
    <w:rsid w:val="00554C82"/>
    <w:rsid w:val="00555222"/>
    <w:rsid w:val="005567AE"/>
    <w:rsid w:val="0056020E"/>
    <w:rsid w:val="00565657"/>
    <w:rsid w:val="00565C52"/>
    <w:rsid w:val="00566338"/>
    <w:rsid w:val="00576555"/>
    <w:rsid w:val="0058108C"/>
    <w:rsid w:val="005828E5"/>
    <w:rsid w:val="0059042B"/>
    <w:rsid w:val="00590C12"/>
    <w:rsid w:val="005A0228"/>
    <w:rsid w:val="005A3A2E"/>
    <w:rsid w:val="005A5493"/>
    <w:rsid w:val="005A6C2A"/>
    <w:rsid w:val="005B3748"/>
    <w:rsid w:val="005B543D"/>
    <w:rsid w:val="005C2A63"/>
    <w:rsid w:val="005D428E"/>
    <w:rsid w:val="005D62EF"/>
    <w:rsid w:val="005E2EDA"/>
    <w:rsid w:val="005F079A"/>
    <w:rsid w:val="005F0A04"/>
    <w:rsid w:val="005F4C41"/>
    <w:rsid w:val="005F62CE"/>
    <w:rsid w:val="005F68E0"/>
    <w:rsid w:val="00601922"/>
    <w:rsid w:val="0060739B"/>
    <w:rsid w:val="006076F4"/>
    <w:rsid w:val="00612180"/>
    <w:rsid w:val="00615096"/>
    <w:rsid w:val="00625210"/>
    <w:rsid w:val="0062600E"/>
    <w:rsid w:val="00633920"/>
    <w:rsid w:val="00633DF6"/>
    <w:rsid w:val="00635B66"/>
    <w:rsid w:val="00636F6E"/>
    <w:rsid w:val="006467A6"/>
    <w:rsid w:val="00647E50"/>
    <w:rsid w:val="00652E14"/>
    <w:rsid w:val="00657095"/>
    <w:rsid w:val="006629E2"/>
    <w:rsid w:val="00666D22"/>
    <w:rsid w:val="006723FB"/>
    <w:rsid w:val="00673D24"/>
    <w:rsid w:val="0069399C"/>
    <w:rsid w:val="00694DD1"/>
    <w:rsid w:val="00696A4E"/>
    <w:rsid w:val="00696AEF"/>
    <w:rsid w:val="006978B0"/>
    <w:rsid w:val="006A5892"/>
    <w:rsid w:val="006A634A"/>
    <w:rsid w:val="006B0497"/>
    <w:rsid w:val="006B206C"/>
    <w:rsid w:val="006B7194"/>
    <w:rsid w:val="006B7B95"/>
    <w:rsid w:val="006B7CCF"/>
    <w:rsid w:val="006C17C1"/>
    <w:rsid w:val="006C22DC"/>
    <w:rsid w:val="006D145A"/>
    <w:rsid w:val="006D7A5D"/>
    <w:rsid w:val="006E0609"/>
    <w:rsid w:val="006E296E"/>
    <w:rsid w:val="006E4A91"/>
    <w:rsid w:val="006E51AB"/>
    <w:rsid w:val="006E5935"/>
    <w:rsid w:val="006E6A85"/>
    <w:rsid w:val="006E6EC3"/>
    <w:rsid w:val="006F426A"/>
    <w:rsid w:val="0070204A"/>
    <w:rsid w:val="00705EA4"/>
    <w:rsid w:val="007119AE"/>
    <w:rsid w:val="007141CA"/>
    <w:rsid w:val="0071551B"/>
    <w:rsid w:val="0072170F"/>
    <w:rsid w:val="007249C9"/>
    <w:rsid w:val="00731E32"/>
    <w:rsid w:val="0073603F"/>
    <w:rsid w:val="007363C7"/>
    <w:rsid w:val="00737219"/>
    <w:rsid w:val="00740008"/>
    <w:rsid w:val="00746C8A"/>
    <w:rsid w:val="00750C8C"/>
    <w:rsid w:val="007531A7"/>
    <w:rsid w:val="0075689C"/>
    <w:rsid w:val="00761ED5"/>
    <w:rsid w:val="00763C27"/>
    <w:rsid w:val="007653DB"/>
    <w:rsid w:val="00767927"/>
    <w:rsid w:val="00781D48"/>
    <w:rsid w:val="00790D0A"/>
    <w:rsid w:val="0079780A"/>
    <w:rsid w:val="007A0B60"/>
    <w:rsid w:val="007A1992"/>
    <w:rsid w:val="007A2769"/>
    <w:rsid w:val="007A31DF"/>
    <w:rsid w:val="007A51A6"/>
    <w:rsid w:val="007A617B"/>
    <w:rsid w:val="007B6E77"/>
    <w:rsid w:val="007C4773"/>
    <w:rsid w:val="007C623A"/>
    <w:rsid w:val="007D1F97"/>
    <w:rsid w:val="007D2DAD"/>
    <w:rsid w:val="007E0864"/>
    <w:rsid w:val="007E110A"/>
    <w:rsid w:val="007E2684"/>
    <w:rsid w:val="007E54D5"/>
    <w:rsid w:val="007F4D1C"/>
    <w:rsid w:val="008001AB"/>
    <w:rsid w:val="00800AC0"/>
    <w:rsid w:val="00804EAA"/>
    <w:rsid w:val="008056BF"/>
    <w:rsid w:val="00805DFC"/>
    <w:rsid w:val="008075E2"/>
    <w:rsid w:val="008076EF"/>
    <w:rsid w:val="0080798C"/>
    <w:rsid w:val="00807C9B"/>
    <w:rsid w:val="008115D2"/>
    <w:rsid w:val="00817AAB"/>
    <w:rsid w:val="00821EBF"/>
    <w:rsid w:val="008222B1"/>
    <w:rsid w:val="00826472"/>
    <w:rsid w:val="0082681A"/>
    <w:rsid w:val="00831167"/>
    <w:rsid w:val="00833A6A"/>
    <w:rsid w:val="0084058C"/>
    <w:rsid w:val="00842322"/>
    <w:rsid w:val="00842A17"/>
    <w:rsid w:val="00851700"/>
    <w:rsid w:val="008601C2"/>
    <w:rsid w:val="0086733D"/>
    <w:rsid w:val="0087551B"/>
    <w:rsid w:val="0088175C"/>
    <w:rsid w:val="00892268"/>
    <w:rsid w:val="00892D36"/>
    <w:rsid w:val="00897021"/>
    <w:rsid w:val="008972FE"/>
    <w:rsid w:val="008A42AF"/>
    <w:rsid w:val="008A4729"/>
    <w:rsid w:val="008B353F"/>
    <w:rsid w:val="008B4764"/>
    <w:rsid w:val="008C17B8"/>
    <w:rsid w:val="008C43A2"/>
    <w:rsid w:val="008C77DD"/>
    <w:rsid w:val="008D2667"/>
    <w:rsid w:val="008D490C"/>
    <w:rsid w:val="008E1F13"/>
    <w:rsid w:val="008E380B"/>
    <w:rsid w:val="009007EE"/>
    <w:rsid w:val="00912193"/>
    <w:rsid w:val="00913042"/>
    <w:rsid w:val="00915035"/>
    <w:rsid w:val="00923C5E"/>
    <w:rsid w:val="00926A51"/>
    <w:rsid w:val="00926A59"/>
    <w:rsid w:val="00931F71"/>
    <w:rsid w:val="00934959"/>
    <w:rsid w:val="00934DC0"/>
    <w:rsid w:val="00937658"/>
    <w:rsid w:val="00947E86"/>
    <w:rsid w:val="009510B3"/>
    <w:rsid w:val="009518CE"/>
    <w:rsid w:val="009527BE"/>
    <w:rsid w:val="00956B32"/>
    <w:rsid w:val="00960FAB"/>
    <w:rsid w:val="00973E78"/>
    <w:rsid w:val="0097479C"/>
    <w:rsid w:val="00974ED9"/>
    <w:rsid w:val="00977A82"/>
    <w:rsid w:val="00983005"/>
    <w:rsid w:val="009833C4"/>
    <w:rsid w:val="00990C68"/>
    <w:rsid w:val="0099470A"/>
    <w:rsid w:val="009A40EC"/>
    <w:rsid w:val="009B155C"/>
    <w:rsid w:val="009B6BE5"/>
    <w:rsid w:val="009B7FA6"/>
    <w:rsid w:val="009C725D"/>
    <w:rsid w:val="009D29FF"/>
    <w:rsid w:val="009D38C8"/>
    <w:rsid w:val="009D7E08"/>
    <w:rsid w:val="009E0581"/>
    <w:rsid w:val="009E7C43"/>
    <w:rsid w:val="009F1A49"/>
    <w:rsid w:val="009F6183"/>
    <w:rsid w:val="00A01A83"/>
    <w:rsid w:val="00A200B3"/>
    <w:rsid w:val="00A20A59"/>
    <w:rsid w:val="00A27A93"/>
    <w:rsid w:val="00A3330E"/>
    <w:rsid w:val="00A35EEC"/>
    <w:rsid w:val="00A503AE"/>
    <w:rsid w:val="00A512AA"/>
    <w:rsid w:val="00A54789"/>
    <w:rsid w:val="00A57907"/>
    <w:rsid w:val="00A62A46"/>
    <w:rsid w:val="00A6515D"/>
    <w:rsid w:val="00A65AAE"/>
    <w:rsid w:val="00A66C3E"/>
    <w:rsid w:val="00A72D25"/>
    <w:rsid w:val="00A854FA"/>
    <w:rsid w:val="00A87328"/>
    <w:rsid w:val="00A92A85"/>
    <w:rsid w:val="00A94F9C"/>
    <w:rsid w:val="00A9637C"/>
    <w:rsid w:val="00A9679F"/>
    <w:rsid w:val="00AA3430"/>
    <w:rsid w:val="00AA5E0A"/>
    <w:rsid w:val="00AB46F7"/>
    <w:rsid w:val="00AC3403"/>
    <w:rsid w:val="00AC7226"/>
    <w:rsid w:val="00AC7A53"/>
    <w:rsid w:val="00AD34FB"/>
    <w:rsid w:val="00AE4477"/>
    <w:rsid w:val="00AE596D"/>
    <w:rsid w:val="00AE5EE4"/>
    <w:rsid w:val="00AF7DB4"/>
    <w:rsid w:val="00B0147A"/>
    <w:rsid w:val="00B01996"/>
    <w:rsid w:val="00B03EB0"/>
    <w:rsid w:val="00B11C65"/>
    <w:rsid w:val="00B13210"/>
    <w:rsid w:val="00B15A97"/>
    <w:rsid w:val="00B338BF"/>
    <w:rsid w:val="00B34D2C"/>
    <w:rsid w:val="00B36009"/>
    <w:rsid w:val="00B37CEC"/>
    <w:rsid w:val="00B40CBD"/>
    <w:rsid w:val="00B4242B"/>
    <w:rsid w:val="00B4416B"/>
    <w:rsid w:val="00B51132"/>
    <w:rsid w:val="00B64BC2"/>
    <w:rsid w:val="00B671C9"/>
    <w:rsid w:val="00B73F4D"/>
    <w:rsid w:val="00B80024"/>
    <w:rsid w:val="00B814DE"/>
    <w:rsid w:val="00B85F04"/>
    <w:rsid w:val="00B87CC6"/>
    <w:rsid w:val="00B93AA3"/>
    <w:rsid w:val="00BA136C"/>
    <w:rsid w:val="00BA2C81"/>
    <w:rsid w:val="00BA3A0F"/>
    <w:rsid w:val="00BA657A"/>
    <w:rsid w:val="00BB1B1E"/>
    <w:rsid w:val="00BB3F2F"/>
    <w:rsid w:val="00BB7289"/>
    <w:rsid w:val="00BC060D"/>
    <w:rsid w:val="00BC1227"/>
    <w:rsid w:val="00BC48BD"/>
    <w:rsid w:val="00BC7B3F"/>
    <w:rsid w:val="00BD015E"/>
    <w:rsid w:val="00BD079E"/>
    <w:rsid w:val="00BD1878"/>
    <w:rsid w:val="00BD343F"/>
    <w:rsid w:val="00BD4363"/>
    <w:rsid w:val="00BE2964"/>
    <w:rsid w:val="00BE336C"/>
    <w:rsid w:val="00BE5D3F"/>
    <w:rsid w:val="00BE7ACA"/>
    <w:rsid w:val="00BF182B"/>
    <w:rsid w:val="00BF2AC1"/>
    <w:rsid w:val="00BF68D3"/>
    <w:rsid w:val="00BF7BF5"/>
    <w:rsid w:val="00C0546C"/>
    <w:rsid w:val="00C064C1"/>
    <w:rsid w:val="00C106AA"/>
    <w:rsid w:val="00C11610"/>
    <w:rsid w:val="00C16AE2"/>
    <w:rsid w:val="00C17FFE"/>
    <w:rsid w:val="00C23C79"/>
    <w:rsid w:val="00C3123D"/>
    <w:rsid w:val="00C32C8E"/>
    <w:rsid w:val="00C41EC4"/>
    <w:rsid w:val="00C429BA"/>
    <w:rsid w:val="00C44966"/>
    <w:rsid w:val="00C4563E"/>
    <w:rsid w:val="00C646BD"/>
    <w:rsid w:val="00C7160F"/>
    <w:rsid w:val="00C73FE5"/>
    <w:rsid w:val="00C84910"/>
    <w:rsid w:val="00C92A76"/>
    <w:rsid w:val="00C93E44"/>
    <w:rsid w:val="00C941C6"/>
    <w:rsid w:val="00CB1900"/>
    <w:rsid w:val="00CB6ED1"/>
    <w:rsid w:val="00CC246E"/>
    <w:rsid w:val="00CC2A88"/>
    <w:rsid w:val="00CD1F97"/>
    <w:rsid w:val="00CE2D91"/>
    <w:rsid w:val="00CE3856"/>
    <w:rsid w:val="00CF36DC"/>
    <w:rsid w:val="00CF5E20"/>
    <w:rsid w:val="00D02880"/>
    <w:rsid w:val="00D04704"/>
    <w:rsid w:val="00D04954"/>
    <w:rsid w:val="00D07240"/>
    <w:rsid w:val="00D10DDC"/>
    <w:rsid w:val="00D131A5"/>
    <w:rsid w:val="00D16C96"/>
    <w:rsid w:val="00D20171"/>
    <w:rsid w:val="00D21CE6"/>
    <w:rsid w:val="00D22300"/>
    <w:rsid w:val="00D251C8"/>
    <w:rsid w:val="00D2557E"/>
    <w:rsid w:val="00D266E0"/>
    <w:rsid w:val="00D27BDC"/>
    <w:rsid w:val="00D40244"/>
    <w:rsid w:val="00D50569"/>
    <w:rsid w:val="00D515B5"/>
    <w:rsid w:val="00D52C2D"/>
    <w:rsid w:val="00D537B7"/>
    <w:rsid w:val="00D55134"/>
    <w:rsid w:val="00D556E2"/>
    <w:rsid w:val="00D60A22"/>
    <w:rsid w:val="00D63ACB"/>
    <w:rsid w:val="00D63BC9"/>
    <w:rsid w:val="00D65E92"/>
    <w:rsid w:val="00D74749"/>
    <w:rsid w:val="00D8436E"/>
    <w:rsid w:val="00D844CD"/>
    <w:rsid w:val="00D8470F"/>
    <w:rsid w:val="00D91341"/>
    <w:rsid w:val="00DA1C80"/>
    <w:rsid w:val="00DA2EFA"/>
    <w:rsid w:val="00DA520C"/>
    <w:rsid w:val="00DB0752"/>
    <w:rsid w:val="00DB4C49"/>
    <w:rsid w:val="00DC3896"/>
    <w:rsid w:val="00DC572B"/>
    <w:rsid w:val="00DE437C"/>
    <w:rsid w:val="00DF0739"/>
    <w:rsid w:val="00DF0749"/>
    <w:rsid w:val="00DF0CFA"/>
    <w:rsid w:val="00DF55EB"/>
    <w:rsid w:val="00DF5CAE"/>
    <w:rsid w:val="00DF69CE"/>
    <w:rsid w:val="00E05065"/>
    <w:rsid w:val="00E15FCC"/>
    <w:rsid w:val="00E1726E"/>
    <w:rsid w:val="00E20E24"/>
    <w:rsid w:val="00E22C7C"/>
    <w:rsid w:val="00E300BE"/>
    <w:rsid w:val="00E34984"/>
    <w:rsid w:val="00E3509C"/>
    <w:rsid w:val="00E35254"/>
    <w:rsid w:val="00E4224E"/>
    <w:rsid w:val="00E42673"/>
    <w:rsid w:val="00E45A97"/>
    <w:rsid w:val="00E530BA"/>
    <w:rsid w:val="00E569E7"/>
    <w:rsid w:val="00E67483"/>
    <w:rsid w:val="00E67AFC"/>
    <w:rsid w:val="00E729D1"/>
    <w:rsid w:val="00E808DA"/>
    <w:rsid w:val="00E965F6"/>
    <w:rsid w:val="00E9755B"/>
    <w:rsid w:val="00EA1AD9"/>
    <w:rsid w:val="00EA35E9"/>
    <w:rsid w:val="00EA462A"/>
    <w:rsid w:val="00EA54C0"/>
    <w:rsid w:val="00EA6D7B"/>
    <w:rsid w:val="00EB00FB"/>
    <w:rsid w:val="00EB1DE3"/>
    <w:rsid w:val="00EB1E16"/>
    <w:rsid w:val="00EB39B2"/>
    <w:rsid w:val="00EB794B"/>
    <w:rsid w:val="00EC1E3C"/>
    <w:rsid w:val="00ED37E3"/>
    <w:rsid w:val="00ED3986"/>
    <w:rsid w:val="00ED4C18"/>
    <w:rsid w:val="00EE55C4"/>
    <w:rsid w:val="00EE6E1A"/>
    <w:rsid w:val="00EF0B9B"/>
    <w:rsid w:val="00EF2EBC"/>
    <w:rsid w:val="00EF38B3"/>
    <w:rsid w:val="00EF48BD"/>
    <w:rsid w:val="00EF695A"/>
    <w:rsid w:val="00F000C5"/>
    <w:rsid w:val="00F011B3"/>
    <w:rsid w:val="00F0647C"/>
    <w:rsid w:val="00F126AF"/>
    <w:rsid w:val="00F13259"/>
    <w:rsid w:val="00F22199"/>
    <w:rsid w:val="00F24E60"/>
    <w:rsid w:val="00F2545D"/>
    <w:rsid w:val="00F262CA"/>
    <w:rsid w:val="00F279E1"/>
    <w:rsid w:val="00F305DA"/>
    <w:rsid w:val="00F36DF6"/>
    <w:rsid w:val="00F371B2"/>
    <w:rsid w:val="00F5136E"/>
    <w:rsid w:val="00F51B58"/>
    <w:rsid w:val="00F575A4"/>
    <w:rsid w:val="00F5764F"/>
    <w:rsid w:val="00F57827"/>
    <w:rsid w:val="00F6140D"/>
    <w:rsid w:val="00F65625"/>
    <w:rsid w:val="00F666DE"/>
    <w:rsid w:val="00F74A7D"/>
    <w:rsid w:val="00F75C13"/>
    <w:rsid w:val="00F800F2"/>
    <w:rsid w:val="00F819DF"/>
    <w:rsid w:val="00F83898"/>
    <w:rsid w:val="00FA10F3"/>
    <w:rsid w:val="00FA2D2F"/>
    <w:rsid w:val="00FA4267"/>
    <w:rsid w:val="00FA4B02"/>
    <w:rsid w:val="00FB0127"/>
    <w:rsid w:val="00FB10C2"/>
    <w:rsid w:val="00FB6181"/>
    <w:rsid w:val="00FB6BEA"/>
    <w:rsid w:val="00FD0C57"/>
    <w:rsid w:val="00FD382F"/>
    <w:rsid w:val="00FD76B1"/>
    <w:rsid w:val="00FD7F00"/>
    <w:rsid w:val="00FE509B"/>
    <w:rsid w:val="00FE69E0"/>
    <w:rsid w:val="00FE7FB0"/>
    <w:rsid w:val="00FF7293"/>
    <w:rsid w:val="014A16B3"/>
    <w:rsid w:val="0496BFE1"/>
    <w:rsid w:val="04EAF512"/>
    <w:rsid w:val="081E3505"/>
    <w:rsid w:val="0A935ACD"/>
    <w:rsid w:val="0F7FF44D"/>
    <w:rsid w:val="12E3559F"/>
    <w:rsid w:val="1AB8F401"/>
    <w:rsid w:val="1B1937AF"/>
    <w:rsid w:val="1CC7B21A"/>
    <w:rsid w:val="1DE93EB5"/>
    <w:rsid w:val="1E61BEEB"/>
    <w:rsid w:val="206A9C4E"/>
    <w:rsid w:val="219D7F90"/>
    <w:rsid w:val="252FA5D0"/>
    <w:rsid w:val="25EAE6D0"/>
    <w:rsid w:val="25F3AE45"/>
    <w:rsid w:val="2922EC39"/>
    <w:rsid w:val="4794AC4B"/>
    <w:rsid w:val="50062066"/>
    <w:rsid w:val="56C60341"/>
    <w:rsid w:val="58393541"/>
    <w:rsid w:val="5864C3FB"/>
    <w:rsid w:val="5F83492B"/>
    <w:rsid w:val="62755B86"/>
    <w:rsid w:val="62BA5275"/>
    <w:rsid w:val="67DB4F49"/>
    <w:rsid w:val="7244F4CA"/>
    <w:rsid w:val="7C47EC3D"/>
    <w:rsid w:val="7E9F098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4196C"/>
  <w15:docId w15:val="{035073D7-D363-49EB-B916-54098BA7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A5"/>
    <w:pPr>
      <w:tabs>
        <w:tab w:val="left" w:pos="-720"/>
      </w:tabs>
      <w:spacing w:line="360" w:lineRule="atLeast"/>
      <w:jc w:val="both"/>
    </w:pPr>
    <w:rPr>
      <w:sz w:val="20"/>
      <w:szCs w:val="20"/>
      <w:lang w:val="en-GB" w:eastAsia="fr-FR"/>
    </w:rPr>
  </w:style>
  <w:style w:type="paragraph" w:styleId="Heading1">
    <w:name w:val="heading 1"/>
    <w:basedOn w:val="Normal"/>
    <w:next w:val="Normal"/>
    <w:link w:val="Heading1Char"/>
    <w:uiPriority w:val="99"/>
    <w:qFormat/>
    <w:rsid w:val="00D131A5"/>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9"/>
    <w:qFormat/>
    <w:rsid w:val="00D131A5"/>
    <w:pPr>
      <w:spacing w:before="120"/>
      <w:outlineLvl w:val="1"/>
    </w:pPr>
    <w:rPr>
      <w:rFonts w:ascii="Arial" w:hAnsi="Arial" w:cs="Arial"/>
      <w:b/>
      <w:bCs/>
      <w:sz w:val="24"/>
      <w:szCs w:val="24"/>
    </w:rPr>
  </w:style>
  <w:style w:type="paragraph" w:styleId="Heading3">
    <w:name w:val="heading 3"/>
    <w:basedOn w:val="Normal"/>
    <w:next w:val="Normal"/>
    <w:link w:val="Heading3Char"/>
    <w:uiPriority w:val="99"/>
    <w:qFormat/>
    <w:rsid w:val="00D131A5"/>
    <w:pPr>
      <w:ind w:left="360"/>
      <w:outlineLvl w:val="2"/>
    </w:pPr>
    <w:rPr>
      <w:b/>
      <w:bCs/>
      <w:sz w:val="24"/>
      <w:szCs w:val="24"/>
    </w:rPr>
  </w:style>
  <w:style w:type="paragraph" w:styleId="Heading4">
    <w:name w:val="heading 4"/>
    <w:basedOn w:val="Normal"/>
    <w:next w:val="Normal"/>
    <w:link w:val="Heading4Char"/>
    <w:uiPriority w:val="99"/>
    <w:qFormat/>
    <w:rsid w:val="00D131A5"/>
    <w:pPr>
      <w:ind w:left="360"/>
      <w:outlineLvl w:val="3"/>
    </w:pPr>
    <w:rPr>
      <w:sz w:val="24"/>
      <w:szCs w:val="24"/>
      <w:u w:val="single"/>
    </w:rPr>
  </w:style>
  <w:style w:type="paragraph" w:styleId="Heading5">
    <w:name w:val="heading 5"/>
    <w:basedOn w:val="Normal"/>
    <w:next w:val="Normal"/>
    <w:link w:val="Heading5Char"/>
    <w:uiPriority w:val="99"/>
    <w:qFormat/>
    <w:rsid w:val="00D131A5"/>
    <w:pPr>
      <w:ind w:left="720"/>
      <w:outlineLvl w:val="4"/>
    </w:pPr>
    <w:rPr>
      <w:b/>
      <w:bCs/>
    </w:rPr>
  </w:style>
  <w:style w:type="paragraph" w:styleId="Heading6">
    <w:name w:val="heading 6"/>
    <w:basedOn w:val="Normal"/>
    <w:next w:val="Normal"/>
    <w:link w:val="Heading6Char"/>
    <w:uiPriority w:val="99"/>
    <w:qFormat/>
    <w:rsid w:val="00D131A5"/>
    <w:pPr>
      <w:ind w:left="720"/>
      <w:outlineLvl w:val="5"/>
    </w:pPr>
    <w:rPr>
      <w:u w:val="single"/>
    </w:rPr>
  </w:style>
  <w:style w:type="paragraph" w:styleId="Heading7">
    <w:name w:val="heading 7"/>
    <w:basedOn w:val="Normal"/>
    <w:next w:val="Normal"/>
    <w:link w:val="Heading7Char"/>
    <w:uiPriority w:val="99"/>
    <w:qFormat/>
    <w:rsid w:val="00D131A5"/>
    <w:pPr>
      <w:ind w:left="720"/>
      <w:outlineLvl w:val="6"/>
    </w:pPr>
    <w:rPr>
      <w:i/>
      <w:iCs/>
    </w:rPr>
  </w:style>
  <w:style w:type="paragraph" w:styleId="Heading8">
    <w:name w:val="heading 8"/>
    <w:basedOn w:val="Normal"/>
    <w:next w:val="Normal"/>
    <w:link w:val="Heading8Char"/>
    <w:uiPriority w:val="99"/>
    <w:qFormat/>
    <w:rsid w:val="00D131A5"/>
    <w:pPr>
      <w:ind w:left="720"/>
      <w:outlineLvl w:val="7"/>
    </w:pPr>
    <w:rPr>
      <w:i/>
      <w:iCs/>
    </w:rPr>
  </w:style>
  <w:style w:type="paragraph" w:styleId="Heading9">
    <w:name w:val="heading 9"/>
    <w:basedOn w:val="Normal"/>
    <w:next w:val="Normal"/>
    <w:link w:val="Heading9Char"/>
    <w:uiPriority w:val="99"/>
    <w:qFormat/>
    <w:rsid w:val="00D131A5"/>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9"/>
    <w:semiHidden/>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9"/>
    <w:semiHidden/>
    <w:rPr>
      <w:rFonts w:ascii="Cambria" w:hAnsi="Cambria" w:cs="Cambria"/>
      <w:b/>
      <w:bCs/>
      <w:sz w:val="26"/>
      <w:szCs w:val="26"/>
      <w:lang w:val="en-GB" w:eastAsia="fr-FR"/>
    </w:rPr>
  </w:style>
  <w:style w:type="character" w:customStyle="1" w:styleId="Heading4Char">
    <w:name w:val="Heading 4 Char"/>
    <w:basedOn w:val="DefaultParagraphFont"/>
    <w:link w:val="Heading4"/>
    <w:uiPriority w:val="99"/>
    <w:semiHidden/>
    <w:rPr>
      <w:rFonts w:ascii="Calibri" w:hAnsi="Calibri" w:cs="Calibri"/>
      <w:b/>
      <w:bCs/>
      <w:sz w:val="28"/>
      <w:szCs w:val="28"/>
      <w:lang w:val="en-GB" w:eastAsia="fr-FR"/>
    </w:rPr>
  </w:style>
  <w:style w:type="character" w:customStyle="1" w:styleId="Heading5Char">
    <w:name w:val="Heading 5 Char"/>
    <w:basedOn w:val="DefaultParagraphFont"/>
    <w:link w:val="Heading5"/>
    <w:uiPriority w:val="99"/>
    <w:semiHidden/>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9"/>
    <w:semiHidden/>
    <w:rPr>
      <w:rFonts w:ascii="Calibri" w:hAnsi="Calibri" w:cs="Calibri"/>
      <w:b/>
      <w:bCs/>
      <w:lang w:val="en-GB" w:eastAsia="fr-FR"/>
    </w:rPr>
  </w:style>
  <w:style w:type="character" w:customStyle="1" w:styleId="Heading7Char">
    <w:name w:val="Heading 7 Char"/>
    <w:basedOn w:val="DefaultParagraphFont"/>
    <w:link w:val="Heading7"/>
    <w:uiPriority w:val="99"/>
    <w:semiHidden/>
    <w:rPr>
      <w:rFonts w:ascii="Calibri" w:hAnsi="Calibri" w:cs="Calibri"/>
      <w:sz w:val="24"/>
      <w:szCs w:val="24"/>
      <w:lang w:val="en-GB" w:eastAsia="fr-FR"/>
    </w:rPr>
  </w:style>
  <w:style w:type="character" w:customStyle="1" w:styleId="Heading8Char">
    <w:name w:val="Heading 8 Char"/>
    <w:basedOn w:val="DefaultParagraphFont"/>
    <w:link w:val="Heading8"/>
    <w:uiPriority w:val="99"/>
    <w:semiHidden/>
    <w:rPr>
      <w:rFonts w:ascii="Calibri" w:hAnsi="Calibri" w:cs="Calibri"/>
      <w:i/>
      <w:iCs/>
      <w:sz w:val="24"/>
      <w:szCs w:val="24"/>
      <w:lang w:val="en-GB" w:eastAsia="fr-FR"/>
    </w:rPr>
  </w:style>
  <w:style w:type="character" w:customStyle="1" w:styleId="Heading9Char">
    <w:name w:val="Heading 9 Char"/>
    <w:basedOn w:val="DefaultParagraphFont"/>
    <w:link w:val="Heading9"/>
    <w:uiPriority w:val="99"/>
    <w:semiHidden/>
    <w:rPr>
      <w:rFonts w:ascii="Cambria" w:hAnsi="Cambria" w:cs="Cambria"/>
      <w:lang w:val="en-GB" w:eastAsia="fr-FR"/>
    </w:rPr>
  </w:style>
  <w:style w:type="character" w:styleId="LineNumber">
    <w:name w:val="line number"/>
    <w:basedOn w:val="DefaultParagraphFont"/>
    <w:uiPriority w:val="99"/>
    <w:rsid w:val="001506C8"/>
    <w:rPr>
      <w:rFonts w:ascii="Arial" w:hAnsi="Arial" w:cs="Arial"/>
      <w:sz w:val="16"/>
      <w:szCs w:val="18"/>
    </w:rPr>
  </w:style>
  <w:style w:type="paragraph" w:styleId="Header">
    <w:name w:val="header"/>
    <w:basedOn w:val="Normal"/>
    <w:link w:val="HeaderChar"/>
    <w:uiPriority w:val="99"/>
    <w:rsid w:val="00B36009"/>
    <w:pPr>
      <w:widowControl w:val="0"/>
      <w:pBdr>
        <w:bottom w:val="single" w:sz="4" w:space="5" w:color="auto"/>
      </w:pBdr>
      <w:tabs>
        <w:tab w:val="clear" w:pos="-720"/>
        <w:tab w:val="center" w:pos="4536"/>
        <w:tab w:val="right" w:pos="9072"/>
      </w:tabs>
      <w:spacing w:line="240" w:lineRule="auto"/>
      <w:jc w:val="center"/>
    </w:pPr>
    <w:rPr>
      <w:rFonts w:ascii="Söhne" w:hAnsi="Söhne"/>
      <w:i/>
      <w:sz w:val="16"/>
      <w:szCs w:val="22"/>
      <w:lang w:val="en-US" w:eastAsia="en-US"/>
    </w:rPr>
  </w:style>
  <w:style w:type="character" w:customStyle="1" w:styleId="HeaderChar">
    <w:name w:val="Header Char"/>
    <w:basedOn w:val="DefaultParagraphFont"/>
    <w:link w:val="Header"/>
    <w:uiPriority w:val="99"/>
    <w:rsid w:val="00B36009"/>
    <w:rPr>
      <w:rFonts w:ascii="Söhne" w:eastAsiaTheme="minorEastAsia" w:hAnsi="Söhne"/>
      <w:i/>
      <w:sz w:val="16"/>
      <w:lang w:val="en-US" w:eastAsia="en-US"/>
    </w:rPr>
  </w:style>
  <w:style w:type="paragraph" w:customStyle="1" w:styleId="notedebas">
    <w:name w:val="note de bas"/>
    <w:basedOn w:val="Normal"/>
    <w:uiPriority w:val="99"/>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link w:val="aChar"/>
    <w:uiPriority w:val="99"/>
    <w:rsid w:val="00D131A5"/>
    <w:pPr>
      <w:tabs>
        <w:tab w:val="clear" w:pos="-720"/>
      </w:tabs>
      <w:spacing w:after="120" w:line="240" w:lineRule="auto"/>
      <w:ind w:left="425" w:hanging="425"/>
    </w:pPr>
    <w:rPr>
      <w:rFonts w:ascii="Ottawa" w:hAnsi="Ottawa" w:cs="Ottawa"/>
      <w:b/>
      <w:bCs/>
    </w:rPr>
  </w:style>
  <w:style w:type="paragraph" w:customStyle="1" w:styleId="paraa">
    <w:name w:val="paraa)"/>
    <w:basedOn w:val="Normal"/>
    <w:link w:val="paraaChar"/>
    <w:uiPriority w:val="99"/>
    <w:rsid w:val="00D131A5"/>
    <w:pPr>
      <w:spacing w:after="240" w:line="240" w:lineRule="auto"/>
      <w:ind w:left="425"/>
    </w:pPr>
    <w:rPr>
      <w:rFonts w:ascii="Arial" w:hAnsi="Arial" w:cs="Arial"/>
      <w:sz w:val="18"/>
      <w:szCs w:val="18"/>
    </w:rPr>
  </w:style>
  <w:style w:type="paragraph" w:customStyle="1" w:styleId="1">
    <w:name w:val="1"/>
    <w:basedOn w:val="Normal"/>
    <w:uiPriority w:val="99"/>
    <w:rsid w:val="00B36009"/>
    <w:pPr>
      <w:tabs>
        <w:tab w:val="clear" w:pos="-720"/>
      </w:tabs>
      <w:spacing w:after="240" w:line="240" w:lineRule="auto"/>
      <w:ind w:left="425" w:hanging="425"/>
    </w:pPr>
    <w:rPr>
      <w:rFonts w:ascii="Söhne Halbfett" w:hAnsi="Söhne Halbfett" w:cs="Arial"/>
      <w:bCs/>
      <w:color w:val="000000"/>
      <w:sz w:val="22"/>
      <w:szCs w:val="18"/>
      <w:lang w:eastAsia="en-US"/>
    </w:rPr>
  </w:style>
  <w:style w:type="paragraph" w:customStyle="1" w:styleId="para1">
    <w:name w:val="para1"/>
    <w:basedOn w:val="Normal"/>
    <w:uiPriority w:val="99"/>
    <w:rsid w:val="00B36009"/>
    <w:pPr>
      <w:spacing w:after="240" w:line="240" w:lineRule="auto"/>
    </w:pPr>
    <w:rPr>
      <w:rFonts w:ascii="Söhne" w:hAnsi="Söhne" w:cs="Arial"/>
      <w:sz w:val="18"/>
      <w:szCs w:val="18"/>
    </w:rPr>
  </w:style>
  <w:style w:type="paragraph" w:customStyle="1" w:styleId="i">
    <w:name w:val="i)"/>
    <w:basedOn w:val="Normal"/>
    <w:link w:val="iCar"/>
    <w:uiPriority w:val="99"/>
    <w:rsid w:val="00B36009"/>
    <w:pPr>
      <w:tabs>
        <w:tab w:val="clear" w:pos="-720"/>
      </w:tabs>
      <w:spacing w:after="120" w:line="240" w:lineRule="auto"/>
      <w:ind w:left="1843" w:hanging="425"/>
    </w:pPr>
    <w:rPr>
      <w:rFonts w:ascii="Söhne" w:hAnsi="Söhne" w:cs="Arial"/>
      <w:sz w:val="18"/>
      <w:szCs w:val="18"/>
      <w:lang w:eastAsia="en-US"/>
    </w:rPr>
  </w:style>
  <w:style w:type="paragraph" w:customStyle="1" w:styleId="A0">
    <w:name w:val="A"/>
    <w:basedOn w:val="Normal"/>
    <w:uiPriority w:val="99"/>
    <w:rsid w:val="00B36009"/>
    <w:pPr>
      <w:spacing w:after="240" w:line="240" w:lineRule="auto"/>
      <w:jc w:val="center"/>
    </w:pPr>
    <w:rPr>
      <w:rFonts w:ascii="Söhne Halbfett" w:hAnsi="Söhne Halbfett"/>
      <w:bCs/>
      <w:caps/>
      <w:sz w:val="24"/>
      <w:szCs w:val="24"/>
    </w:rPr>
  </w:style>
  <w:style w:type="paragraph" w:customStyle="1" w:styleId="Ref">
    <w:name w:val="Ref."/>
    <w:basedOn w:val="Normal"/>
    <w:rsid w:val="00371520"/>
    <w:pPr>
      <w:spacing w:after="240" w:line="240" w:lineRule="auto"/>
    </w:pPr>
    <w:rPr>
      <w:rFonts w:ascii="Söhne" w:hAnsi="Söhne" w:cs="Arial"/>
      <w:sz w:val="18"/>
      <w:szCs w:val="18"/>
    </w:rPr>
  </w:style>
  <w:style w:type="paragraph" w:customStyle="1" w:styleId="sumtexte">
    <w:name w:val="sumtexte"/>
    <w:basedOn w:val="Normal"/>
    <w:rsid w:val="00B36009"/>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B36009"/>
    <w:pPr>
      <w:spacing w:after="240" w:line="240" w:lineRule="auto"/>
    </w:pPr>
    <w:rPr>
      <w:rFonts w:ascii="Söhne" w:hAnsi="Söhne"/>
      <w:sz w:val="18"/>
      <w:szCs w:val="18"/>
    </w:rPr>
  </w:style>
  <w:style w:type="paragraph" w:customStyle="1" w:styleId="TITRE">
    <w:name w:val="TITRE"/>
    <w:basedOn w:val="Normal"/>
    <w:rsid w:val="00D131A5"/>
    <w:pPr>
      <w:spacing w:after="240"/>
      <w:jc w:val="center"/>
    </w:pPr>
    <w:rPr>
      <w:b/>
      <w:bCs/>
      <w:caps/>
    </w:rPr>
  </w:style>
  <w:style w:type="paragraph" w:styleId="Footer">
    <w:name w:val="footer"/>
    <w:basedOn w:val="Normal"/>
    <w:link w:val="FooterChar"/>
    <w:uiPriority w:val="99"/>
    <w:rsid w:val="00B36009"/>
    <w:pPr>
      <w:widowControl w:val="0"/>
      <w:pBdr>
        <w:top w:val="single" w:sz="4" w:space="5" w:color="auto"/>
      </w:pBdr>
      <w:tabs>
        <w:tab w:val="clear" w:pos="-720"/>
        <w:tab w:val="right" w:pos="9072"/>
      </w:tabs>
      <w:spacing w:line="240" w:lineRule="auto"/>
      <w:jc w:val="left"/>
    </w:pPr>
    <w:rPr>
      <w:rFonts w:ascii="Söhne" w:hAnsi="Söhne"/>
      <w:sz w:val="16"/>
      <w:szCs w:val="22"/>
      <w:lang w:val="en-US" w:eastAsia="en-US"/>
    </w:rPr>
  </w:style>
  <w:style w:type="character" w:customStyle="1" w:styleId="FooterChar">
    <w:name w:val="Footer Char"/>
    <w:basedOn w:val="DefaultParagraphFont"/>
    <w:link w:val="Footer"/>
    <w:uiPriority w:val="99"/>
    <w:rsid w:val="00B36009"/>
    <w:rPr>
      <w:rFonts w:ascii="Söhne" w:eastAsiaTheme="minorEastAsia" w:hAnsi="Söhne"/>
      <w:sz w:val="16"/>
      <w:lang w:val="en-US" w:eastAsia="en-US"/>
    </w:rPr>
  </w:style>
  <w:style w:type="paragraph" w:styleId="FootnoteText">
    <w:name w:val="footnote text"/>
    <w:basedOn w:val="Normal"/>
    <w:link w:val="FootnoteTextChar"/>
    <w:uiPriority w:val="99"/>
    <w:semiHidden/>
    <w:rsid w:val="00D131A5"/>
  </w:style>
  <w:style w:type="character" w:customStyle="1" w:styleId="FootnoteTextChar">
    <w:name w:val="Footnote Text Char"/>
    <w:basedOn w:val="DefaultParagraphFont"/>
    <w:link w:val="FootnoteText"/>
    <w:uiPriority w:val="99"/>
    <w:rPr>
      <w:sz w:val="20"/>
      <w:szCs w:val="20"/>
      <w:lang w:val="en-GB" w:eastAsia="fr-FR"/>
    </w:rPr>
  </w:style>
  <w:style w:type="character" w:styleId="FootnoteReference">
    <w:name w:val="footnote reference"/>
    <w:basedOn w:val="DefaultParagraphFont"/>
    <w:uiPriority w:val="99"/>
    <w:semiHidden/>
    <w:rsid w:val="00D131A5"/>
    <w:rPr>
      <w:vertAlign w:val="superscript"/>
    </w:rPr>
  </w:style>
  <w:style w:type="paragraph" w:customStyle="1" w:styleId="sumtextelastpara">
    <w:name w:val="sumtexte last para"/>
    <w:basedOn w:val="sumtexte"/>
    <w:uiPriority w:val="99"/>
    <w:rsid w:val="00242A97"/>
    <w:pPr>
      <w:spacing w:after="480"/>
    </w:pPr>
  </w:style>
  <w:style w:type="paragraph" w:customStyle="1" w:styleId="b">
    <w:name w:val="b)"/>
    <w:basedOn w:val="Normal"/>
    <w:uiPriority w:val="99"/>
    <w:rsid w:val="00242A97"/>
    <w:pPr>
      <w:spacing w:after="120" w:line="240" w:lineRule="auto"/>
      <w:ind w:left="850" w:hanging="425"/>
    </w:pPr>
    <w:rPr>
      <w:rFonts w:ascii="Ottawa" w:hAnsi="Ottawa" w:cs="Ottawa"/>
      <w:b/>
      <w:bCs/>
      <w:sz w:val="18"/>
      <w:szCs w:val="18"/>
    </w:rPr>
  </w:style>
  <w:style w:type="paragraph" w:customStyle="1" w:styleId="ipara">
    <w:name w:val="i_para"/>
    <w:basedOn w:val="i"/>
    <w:uiPriority w:val="99"/>
    <w:rsid w:val="00242A97"/>
    <w:pPr>
      <w:spacing w:line="200" w:lineRule="exact"/>
      <w:ind w:left="851" w:firstLine="0"/>
    </w:pPr>
  </w:style>
  <w:style w:type="paragraph" w:customStyle="1" w:styleId="iparalast">
    <w:name w:val="i_para_last"/>
    <w:basedOn w:val="i"/>
    <w:link w:val="iparalastCar"/>
    <w:uiPriority w:val="99"/>
    <w:rsid w:val="00242A97"/>
    <w:pPr>
      <w:spacing w:after="240" w:line="200" w:lineRule="exact"/>
    </w:pPr>
  </w:style>
  <w:style w:type="paragraph" w:customStyle="1" w:styleId="Referencetitle">
    <w:name w:val="Reference_title"/>
    <w:basedOn w:val="Normal"/>
    <w:uiPriority w:val="99"/>
    <w:rsid w:val="00B36009"/>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B36009"/>
    <w:pPr>
      <w:spacing w:after="240" w:line="240" w:lineRule="auto"/>
      <w:jc w:val="center"/>
    </w:pPr>
    <w:rPr>
      <w:rFonts w:ascii="Söhne Kräftig" w:hAnsi="Söhne Kräftig"/>
      <w:caps/>
      <w:spacing w:val="60"/>
      <w:sz w:val="24"/>
    </w:rPr>
  </w:style>
  <w:style w:type="paragraph" w:customStyle="1" w:styleId="Sectiontitle">
    <w:name w:val="Section_title"/>
    <w:basedOn w:val="Normal"/>
    <w:uiPriority w:val="99"/>
    <w:rsid w:val="005828E5"/>
    <w:pPr>
      <w:pBdr>
        <w:bottom w:val="single" w:sz="6" w:space="10" w:color="auto"/>
      </w:pBdr>
      <w:spacing w:after="480" w:line="240" w:lineRule="auto"/>
      <w:jc w:val="center"/>
    </w:pPr>
    <w:rPr>
      <w:rFonts w:ascii="Ottawa" w:hAnsi="Ottawa" w:cs="Ottawa"/>
      <w:b/>
      <w:bCs/>
      <w:caps/>
      <w:spacing w:val="40"/>
      <w:sz w:val="32"/>
      <w:szCs w:val="32"/>
    </w:rPr>
  </w:style>
  <w:style w:type="paragraph" w:customStyle="1" w:styleId="Summarytitle">
    <w:name w:val="Summary_title"/>
    <w:basedOn w:val="Normal"/>
    <w:uiPriority w:val="99"/>
    <w:rsid w:val="00B36009"/>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8B353F"/>
    <w:pPr>
      <w:keepLines/>
      <w:tabs>
        <w:tab w:val="clear" w:pos="-720"/>
      </w:tabs>
      <w:spacing w:before="240" w:after="240" w:line="240" w:lineRule="atLeast"/>
      <w:jc w:val="center"/>
    </w:pPr>
    <w:rPr>
      <w:lang w:val="fr-FR"/>
    </w:rPr>
  </w:style>
  <w:style w:type="character" w:customStyle="1" w:styleId="paraaChar">
    <w:name w:val="paraa) Char"/>
    <w:link w:val="paraa"/>
    <w:uiPriority w:val="99"/>
    <w:rsid w:val="00232A1F"/>
    <w:rPr>
      <w:rFonts w:ascii="Arial" w:hAnsi="Arial" w:cs="Arial"/>
      <w:sz w:val="18"/>
      <w:szCs w:val="18"/>
      <w:lang w:val="en-GB" w:eastAsia="fr-FR"/>
    </w:rPr>
  </w:style>
  <w:style w:type="character" w:customStyle="1" w:styleId="aChar">
    <w:name w:val="a) Char"/>
    <w:link w:val="a"/>
    <w:uiPriority w:val="99"/>
    <w:rsid w:val="007A1992"/>
    <w:rPr>
      <w:rFonts w:ascii="Ottawa" w:hAnsi="Ottawa" w:cs="Ottawa"/>
      <w:b/>
      <w:bCs/>
      <w:lang w:val="en-GB" w:eastAsia="fr-FR"/>
    </w:rPr>
  </w:style>
  <w:style w:type="paragraph" w:styleId="BalloonText">
    <w:name w:val="Balloon Text"/>
    <w:basedOn w:val="Normal"/>
    <w:link w:val="BalloonTextChar"/>
    <w:uiPriority w:val="99"/>
    <w:semiHidden/>
    <w:rsid w:val="00636F6E"/>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val="en-GB" w:eastAsia="fr-FR"/>
    </w:rPr>
  </w:style>
  <w:style w:type="character" w:styleId="Hyperlink">
    <w:name w:val="Hyperlink"/>
    <w:basedOn w:val="DefaultParagraphFont"/>
    <w:rsid w:val="005F079A"/>
    <w:rPr>
      <w:color w:val="0000FF"/>
      <w:u w:val="single"/>
    </w:rPr>
  </w:style>
  <w:style w:type="character" w:customStyle="1" w:styleId="iCar">
    <w:name w:val="i) Car"/>
    <w:link w:val="i"/>
    <w:uiPriority w:val="99"/>
    <w:rsid w:val="00E45A97"/>
    <w:rPr>
      <w:rFonts w:ascii="Söhne" w:eastAsiaTheme="minorEastAsia" w:hAnsi="Söhne" w:cs="Arial"/>
      <w:sz w:val="18"/>
      <w:szCs w:val="18"/>
      <w:lang w:val="en-GB" w:eastAsia="en-US"/>
    </w:rPr>
  </w:style>
  <w:style w:type="character" w:customStyle="1" w:styleId="iparalastCar">
    <w:name w:val="i_para_last Car"/>
    <w:link w:val="iparalast"/>
    <w:uiPriority w:val="99"/>
    <w:rsid w:val="0031184C"/>
    <w:rPr>
      <w:rFonts w:ascii="Arial" w:hAnsi="Arial" w:cs="Arial"/>
      <w:sz w:val="18"/>
      <w:szCs w:val="18"/>
      <w:lang w:val="en-GB" w:eastAsia="fr-FR"/>
    </w:rPr>
  </w:style>
  <w:style w:type="character" w:styleId="CommentReference">
    <w:name w:val="annotation reference"/>
    <w:basedOn w:val="DefaultParagraphFont"/>
    <w:uiPriority w:val="99"/>
    <w:semiHidden/>
    <w:rsid w:val="000F56FB"/>
    <w:rPr>
      <w:sz w:val="16"/>
      <w:szCs w:val="16"/>
    </w:rPr>
  </w:style>
  <w:style w:type="paragraph" w:styleId="CommentText">
    <w:name w:val="annotation text"/>
    <w:basedOn w:val="Normal"/>
    <w:link w:val="CommentTextChar"/>
    <w:uiPriority w:val="99"/>
    <w:semiHidden/>
    <w:rsid w:val="000F56FB"/>
    <w:rPr>
      <w:lang w:val="en-CA"/>
    </w:rPr>
  </w:style>
  <w:style w:type="character" w:customStyle="1" w:styleId="CommentTextChar">
    <w:name w:val="Comment Text Char"/>
    <w:basedOn w:val="DefaultParagraphFont"/>
    <w:link w:val="CommentText"/>
    <w:uiPriority w:val="99"/>
    <w:semiHidden/>
    <w:rsid w:val="005451B4"/>
    <w:rPr>
      <w:lang w:eastAsia="fr-FR"/>
    </w:rPr>
  </w:style>
  <w:style w:type="paragraph" w:styleId="CommentSubject">
    <w:name w:val="annotation subject"/>
    <w:basedOn w:val="CommentText"/>
    <w:next w:val="CommentText"/>
    <w:link w:val="CommentSubjectChar"/>
    <w:uiPriority w:val="99"/>
    <w:semiHidden/>
    <w:rsid w:val="000F56FB"/>
    <w:rPr>
      <w:b/>
      <w:bCs/>
    </w:rPr>
  </w:style>
  <w:style w:type="character" w:customStyle="1" w:styleId="CommentSubjectChar">
    <w:name w:val="Comment Subject Char"/>
    <w:basedOn w:val="CommentTextChar"/>
    <w:link w:val="CommentSubject"/>
    <w:uiPriority w:val="99"/>
    <w:semiHidden/>
    <w:rPr>
      <w:b/>
      <w:bCs/>
      <w:sz w:val="20"/>
      <w:szCs w:val="20"/>
      <w:lang w:val="en-GB" w:eastAsia="fr-FR"/>
    </w:rPr>
  </w:style>
  <w:style w:type="character" w:customStyle="1" w:styleId="paraaCar0">
    <w:name w:val="paraa) Car"/>
    <w:uiPriority w:val="99"/>
    <w:rsid w:val="00004974"/>
    <w:rPr>
      <w:rFonts w:ascii="Arial" w:hAnsi="Arial" w:cs="Arial"/>
      <w:sz w:val="18"/>
      <w:szCs w:val="18"/>
      <w:lang w:val="en-GB" w:eastAsia="fr-FR"/>
    </w:rPr>
  </w:style>
  <w:style w:type="character" w:customStyle="1" w:styleId="aCar">
    <w:name w:val="a) Car"/>
    <w:uiPriority w:val="99"/>
    <w:rsid w:val="00004974"/>
    <w:rPr>
      <w:rFonts w:ascii="Ottawa" w:hAnsi="Ottawa" w:cs="Ottawa"/>
      <w:b/>
      <w:bCs/>
      <w:lang w:val="en-GB" w:eastAsia="fr-FR"/>
    </w:rPr>
  </w:style>
  <w:style w:type="paragraph" w:styleId="BodyText">
    <w:name w:val="Body Text"/>
    <w:basedOn w:val="Normal"/>
    <w:link w:val="BodyTextChar"/>
    <w:uiPriority w:val="99"/>
    <w:rsid w:val="002E7968"/>
    <w:pPr>
      <w:widowControl w:val="0"/>
      <w:tabs>
        <w:tab w:val="clear" w:pos="-720"/>
      </w:tabs>
      <w:spacing w:line="240" w:lineRule="auto"/>
      <w:jc w:val="left"/>
    </w:pPr>
    <w:rPr>
      <w:sz w:val="24"/>
      <w:szCs w:val="24"/>
      <w:lang w:val="en-CA"/>
    </w:rPr>
  </w:style>
  <w:style w:type="character" w:customStyle="1" w:styleId="BodyTextChar">
    <w:name w:val="Body Text Char"/>
    <w:basedOn w:val="DefaultParagraphFont"/>
    <w:link w:val="BodyText"/>
    <w:uiPriority w:val="99"/>
    <w:rsid w:val="002E7968"/>
    <w:rPr>
      <w:sz w:val="24"/>
      <w:szCs w:val="24"/>
      <w:lang w:eastAsia="fr-FR"/>
    </w:rPr>
  </w:style>
  <w:style w:type="paragraph" w:styleId="EndnoteText">
    <w:name w:val="endnote text"/>
    <w:basedOn w:val="Normal"/>
    <w:link w:val="EndnoteTextChar"/>
    <w:uiPriority w:val="99"/>
    <w:semiHidden/>
    <w:rsid w:val="007531A7"/>
  </w:style>
  <w:style w:type="character" w:customStyle="1" w:styleId="EndnoteTextChar">
    <w:name w:val="Endnote Text Char"/>
    <w:basedOn w:val="DefaultParagraphFont"/>
    <w:link w:val="EndnoteText"/>
    <w:uiPriority w:val="99"/>
    <w:rsid w:val="007531A7"/>
    <w:rPr>
      <w:lang w:eastAsia="fr-FR"/>
    </w:rPr>
  </w:style>
  <w:style w:type="paragraph" w:customStyle="1" w:styleId="Reflabnote">
    <w:name w:val="Ref_lab_note"/>
    <w:basedOn w:val="Normal"/>
    <w:link w:val="ReflabnoteCar"/>
    <w:rsid w:val="000F5507"/>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0F5507"/>
    <w:rPr>
      <w:rFonts w:ascii="Arial" w:hAnsi="Arial" w:cs="Arial"/>
      <w:sz w:val="18"/>
      <w:szCs w:val="18"/>
      <w:lang w:val="en-GB" w:eastAsia="fr-FR"/>
    </w:rPr>
  </w:style>
  <w:style w:type="paragraph" w:customStyle="1" w:styleId="Chaptertitle">
    <w:name w:val="Chapter_title"/>
    <w:basedOn w:val="Normal"/>
    <w:rsid w:val="00B36009"/>
    <w:pPr>
      <w:pBdr>
        <w:bottom w:val="single" w:sz="6" w:space="10" w:color="auto"/>
      </w:pBdr>
      <w:spacing w:line="240" w:lineRule="auto"/>
      <w:jc w:val="center"/>
    </w:pPr>
    <w:rPr>
      <w:rFonts w:ascii="Söhne Halbfett" w:hAnsi="Söhne Halbfett"/>
      <w:caps/>
      <w:spacing w:val="40"/>
      <w:sz w:val="32"/>
    </w:rPr>
  </w:style>
  <w:style w:type="paragraph" w:customStyle="1" w:styleId="A1">
    <w:name w:val="A1"/>
    <w:basedOn w:val="Heading1"/>
    <w:qFormat/>
    <w:rsid w:val="001B2579"/>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B36009"/>
    <w:pPr>
      <w:tabs>
        <w:tab w:val="clear" w:pos="-720"/>
      </w:tabs>
      <w:spacing w:after="240" w:line="240" w:lineRule="auto"/>
    </w:pPr>
    <w:rPr>
      <w:rFonts w:ascii="Söhne" w:hAnsi="Söhne" w:cs="Arial"/>
      <w:sz w:val="18"/>
      <w:szCs w:val="18"/>
      <w:lang w:eastAsia="en-US"/>
    </w:rPr>
  </w:style>
  <w:style w:type="paragraph" w:customStyle="1" w:styleId="11">
    <w:name w:val="1.1"/>
    <w:basedOn w:val="Normal"/>
    <w:uiPriority w:val="99"/>
    <w:rsid w:val="00B36009"/>
    <w:pPr>
      <w:tabs>
        <w:tab w:val="clear" w:pos="-720"/>
      </w:tabs>
      <w:spacing w:after="240" w:line="240" w:lineRule="auto"/>
      <w:ind w:left="850" w:hanging="425"/>
      <w:jc w:val="left"/>
    </w:pPr>
    <w:rPr>
      <w:rFonts w:ascii="Söhne Halbfett" w:hAnsi="Söhne Halbfett" w:cs="Arial"/>
      <w:szCs w:val="22"/>
      <w:lang w:eastAsia="en-US"/>
    </w:rPr>
  </w:style>
  <w:style w:type="paragraph" w:customStyle="1" w:styleId="11Para">
    <w:name w:val="1.1_Para"/>
    <w:basedOn w:val="Normal"/>
    <w:uiPriority w:val="99"/>
    <w:rsid w:val="00B36009"/>
    <w:pPr>
      <w:tabs>
        <w:tab w:val="clear" w:pos="-720"/>
      </w:tabs>
      <w:spacing w:after="240" w:line="240" w:lineRule="auto"/>
      <w:ind w:left="851"/>
    </w:pPr>
    <w:rPr>
      <w:rFonts w:ascii="Söhne" w:hAnsi="Söhne" w:cs="Arial"/>
      <w:sz w:val="18"/>
      <w:szCs w:val="18"/>
      <w:lang w:eastAsia="en-US"/>
    </w:rPr>
  </w:style>
  <w:style w:type="paragraph" w:customStyle="1" w:styleId="111">
    <w:name w:val="1.1.1"/>
    <w:basedOn w:val="Normal"/>
    <w:uiPriority w:val="99"/>
    <w:qFormat/>
    <w:rsid w:val="00B36009"/>
    <w:pPr>
      <w:tabs>
        <w:tab w:val="clear" w:pos="-720"/>
      </w:tabs>
      <w:spacing w:after="120" w:line="240" w:lineRule="auto"/>
      <w:ind w:left="1418" w:hanging="567"/>
      <w:jc w:val="left"/>
    </w:pPr>
    <w:rPr>
      <w:rFonts w:ascii="Söhne Kräftig" w:hAnsi="Söhne Kräftig" w:cs="Arial"/>
      <w:sz w:val="19"/>
      <w:lang w:eastAsia="en-US"/>
    </w:rPr>
  </w:style>
  <w:style w:type="paragraph" w:customStyle="1" w:styleId="111Para">
    <w:name w:val="1.1.1_Para"/>
    <w:basedOn w:val="Normal"/>
    <w:qFormat/>
    <w:rsid w:val="00B36009"/>
    <w:pPr>
      <w:tabs>
        <w:tab w:val="clear" w:pos="-720"/>
      </w:tabs>
      <w:spacing w:after="240" w:line="240" w:lineRule="auto"/>
      <w:ind w:left="1418"/>
    </w:pPr>
    <w:rPr>
      <w:rFonts w:ascii="Söhne" w:hAnsi="Söhne" w:cs="Arial"/>
      <w:sz w:val="18"/>
      <w:szCs w:val="18"/>
      <w:lang w:eastAsia="en-US"/>
    </w:rPr>
  </w:style>
  <w:style w:type="paragraph" w:customStyle="1" w:styleId="ilast">
    <w:name w:val="i)_last"/>
    <w:basedOn w:val="Normal"/>
    <w:uiPriority w:val="99"/>
    <w:rsid w:val="00B36009"/>
    <w:pPr>
      <w:tabs>
        <w:tab w:val="clear" w:pos="-720"/>
      </w:tabs>
      <w:spacing w:after="240" w:line="240" w:lineRule="auto"/>
      <w:ind w:left="1843" w:hanging="425"/>
      <w:jc w:val="left"/>
    </w:pPr>
    <w:rPr>
      <w:rFonts w:ascii="Arial" w:hAnsi="Arial" w:cs="Arial"/>
      <w:sz w:val="18"/>
      <w:szCs w:val="18"/>
      <w:lang w:eastAsia="en-US"/>
    </w:rPr>
  </w:style>
  <w:style w:type="paragraph" w:customStyle="1" w:styleId="afourthlevel">
    <w:name w:val="a)_fourth_level"/>
    <w:basedOn w:val="Normal"/>
    <w:uiPriority w:val="99"/>
    <w:rsid w:val="00B36009"/>
    <w:pPr>
      <w:tabs>
        <w:tab w:val="clear" w:pos="-720"/>
      </w:tabs>
      <w:spacing w:after="120" w:line="240" w:lineRule="auto"/>
      <w:ind w:left="1843" w:hanging="425"/>
      <w:jc w:val="left"/>
    </w:pPr>
    <w:rPr>
      <w:rFonts w:ascii="Söhne Kräftig" w:hAnsi="Söhne Kräftig" w:cs="Arial"/>
      <w:sz w:val="18"/>
      <w:lang w:eastAsia="en-US"/>
    </w:rPr>
  </w:style>
  <w:style w:type="paragraph" w:customStyle="1" w:styleId="afourthpara">
    <w:name w:val="a)_fourth_para"/>
    <w:basedOn w:val="Normal"/>
    <w:uiPriority w:val="99"/>
    <w:rsid w:val="00B36009"/>
    <w:pPr>
      <w:tabs>
        <w:tab w:val="clear" w:pos="-720"/>
      </w:tabs>
      <w:spacing w:after="240" w:line="240" w:lineRule="auto"/>
      <w:ind w:left="1843"/>
    </w:pPr>
    <w:rPr>
      <w:rFonts w:ascii="Söhne" w:hAnsi="Söhne" w:cs="Arial"/>
      <w:sz w:val="18"/>
      <w:szCs w:val="18"/>
      <w:lang w:eastAsia="en-US"/>
    </w:rPr>
  </w:style>
  <w:style w:type="paragraph" w:customStyle="1" w:styleId="ififthlevel">
    <w:name w:val="i)_fifth_level"/>
    <w:basedOn w:val="Normal"/>
    <w:uiPriority w:val="99"/>
    <w:rsid w:val="00B36009"/>
    <w:pPr>
      <w:tabs>
        <w:tab w:val="clear" w:pos="-720"/>
      </w:tabs>
      <w:spacing w:after="120" w:line="240" w:lineRule="auto"/>
      <w:ind w:left="2268" w:hanging="425"/>
      <w:jc w:val="left"/>
    </w:pPr>
    <w:rPr>
      <w:rFonts w:ascii="Ottawa" w:hAnsi="Ottawa" w:cs="Arial"/>
      <w:b/>
      <w:sz w:val="17"/>
      <w:szCs w:val="18"/>
      <w:lang w:eastAsia="en-US"/>
    </w:rPr>
  </w:style>
  <w:style w:type="paragraph" w:customStyle="1" w:styleId="ififthpara">
    <w:name w:val="i)_fifth_para"/>
    <w:basedOn w:val="Normal"/>
    <w:uiPriority w:val="99"/>
    <w:rsid w:val="00B36009"/>
    <w:pPr>
      <w:tabs>
        <w:tab w:val="clear" w:pos="-720"/>
      </w:tabs>
      <w:spacing w:after="240" w:line="240" w:lineRule="auto"/>
      <w:ind w:left="1843"/>
    </w:pPr>
    <w:rPr>
      <w:rFonts w:ascii="Söhne" w:hAnsi="Söhne" w:cs="Arial"/>
      <w:sz w:val="18"/>
      <w:szCs w:val="18"/>
      <w:lang w:eastAsia="en-US"/>
    </w:rPr>
  </w:style>
  <w:style w:type="paragraph" w:customStyle="1" w:styleId="dotsixthlevel">
    <w:name w:val="dot_sixth_level"/>
    <w:basedOn w:val="Normal"/>
    <w:uiPriority w:val="99"/>
    <w:rsid w:val="00B36009"/>
    <w:pPr>
      <w:tabs>
        <w:tab w:val="clear" w:pos="-720"/>
      </w:tabs>
      <w:spacing w:after="120" w:line="240" w:lineRule="auto"/>
      <w:ind w:left="2268" w:hanging="425"/>
    </w:pPr>
    <w:rPr>
      <w:rFonts w:ascii="Söhne" w:hAnsi="Söhne" w:cs="Arial"/>
      <w:sz w:val="18"/>
      <w:szCs w:val="18"/>
      <w:lang w:eastAsia="en-US"/>
    </w:rPr>
  </w:style>
  <w:style w:type="paragraph" w:customStyle="1" w:styleId="dotsixthpara">
    <w:name w:val="dot_sixth_para"/>
    <w:basedOn w:val="Normal"/>
    <w:uiPriority w:val="99"/>
    <w:rsid w:val="00B36009"/>
    <w:pPr>
      <w:tabs>
        <w:tab w:val="clear" w:pos="-720"/>
      </w:tabs>
      <w:spacing w:after="240" w:line="240" w:lineRule="auto"/>
      <w:ind w:left="2268"/>
    </w:pPr>
    <w:rPr>
      <w:rFonts w:ascii="Söhne" w:hAnsi="Söhne" w:cs="Arial"/>
      <w:sz w:val="18"/>
      <w:szCs w:val="18"/>
      <w:lang w:eastAsia="en-US"/>
    </w:rPr>
  </w:style>
  <w:style w:type="paragraph" w:customStyle="1" w:styleId="ififthlevellist">
    <w:name w:val="i_fifth_level_list"/>
    <w:basedOn w:val="ififthpara"/>
    <w:uiPriority w:val="99"/>
    <w:rsid w:val="00B36009"/>
    <w:pPr>
      <w:spacing w:after="120"/>
      <w:ind w:hanging="425"/>
    </w:pPr>
  </w:style>
  <w:style w:type="paragraph" w:customStyle="1" w:styleId="11ilist">
    <w:name w:val="1.1.i_list"/>
    <w:basedOn w:val="ListParagraph"/>
    <w:uiPriority w:val="99"/>
    <w:rsid w:val="00B36009"/>
    <w:pPr>
      <w:tabs>
        <w:tab w:val="clear" w:pos="-720"/>
        <w:tab w:val="left" w:pos="851"/>
      </w:tabs>
      <w:spacing w:after="120" w:line="240" w:lineRule="auto"/>
      <w:ind w:left="1276" w:hanging="425"/>
      <w:contextualSpacing w:val="0"/>
    </w:pPr>
    <w:rPr>
      <w:rFonts w:ascii="Söhne" w:hAnsi="Söhne" w:cs="Arial"/>
      <w:sz w:val="18"/>
      <w:szCs w:val="18"/>
      <w:lang w:eastAsia="en-US"/>
    </w:rPr>
  </w:style>
  <w:style w:type="paragraph" w:customStyle="1" w:styleId="TableHead">
    <w:name w:val="Table Head"/>
    <w:basedOn w:val="Normal"/>
    <w:uiPriority w:val="99"/>
    <w:rsid w:val="00926A59"/>
    <w:pPr>
      <w:tabs>
        <w:tab w:val="clear" w:pos="-720"/>
      </w:tabs>
      <w:spacing w:before="120" w:after="120" w:line="240" w:lineRule="auto"/>
      <w:jc w:val="center"/>
    </w:pPr>
    <w:rPr>
      <w:rFonts w:ascii="Ottawa" w:hAnsi="Ottawa" w:cs="Ottawa"/>
      <w:b/>
      <w:bCs/>
      <w:sz w:val="18"/>
      <w:szCs w:val="18"/>
      <w:lang w:val="en-IE" w:eastAsia="en-US"/>
    </w:rPr>
  </w:style>
  <w:style w:type="paragraph" w:customStyle="1" w:styleId="Tabletext">
    <w:name w:val="Table text"/>
    <w:basedOn w:val="Normal"/>
    <w:uiPriority w:val="99"/>
    <w:rsid w:val="00926A59"/>
    <w:pPr>
      <w:tabs>
        <w:tab w:val="clear" w:pos="-720"/>
      </w:tabs>
      <w:spacing w:before="120" w:after="120" w:line="240" w:lineRule="auto"/>
      <w:jc w:val="center"/>
    </w:pPr>
    <w:rPr>
      <w:rFonts w:ascii="Arial" w:hAnsi="Arial" w:cs="Arial"/>
      <w:sz w:val="18"/>
      <w:szCs w:val="18"/>
      <w:lang w:val="en-IE" w:eastAsia="en-US"/>
    </w:rPr>
  </w:style>
  <w:style w:type="paragraph" w:customStyle="1" w:styleId="Tabletitle">
    <w:name w:val="Table title"/>
    <w:basedOn w:val="Normal"/>
    <w:autoRedefine/>
    <w:uiPriority w:val="99"/>
    <w:rsid w:val="00B36009"/>
    <w:pPr>
      <w:tabs>
        <w:tab w:val="clear" w:pos="-720"/>
      </w:tabs>
      <w:spacing w:after="120" w:line="240" w:lineRule="auto"/>
      <w:jc w:val="center"/>
    </w:pPr>
    <w:rPr>
      <w:rFonts w:ascii="Söhne Kräftig" w:hAnsi="Söhne Kräftig" w:cs="Ottawa"/>
      <w:b/>
      <w:bCs/>
      <w:i/>
      <w:iCs/>
      <w:sz w:val="18"/>
      <w:szCs w:val="18"/>
      <w:lang w:eastAsia="en-US"/>
    </w:rPr>
  </w:style>
  <w:style w:type="paragraph" w:styleId="PlainText">
    <w:name w:val="Plain Text"/>
    <w:basedOn w:val="Normal"/>
    <w:link w:val="PlainTextChar"/>
    <w:uiPriority w:val="99"/>
    <w:rsid w:val="00926A59"/>
    <w:pPr>
      <w:tabs>
        <w:tab w:val="clear" w:pos="-720"/>
      </w:tabs>
      <w:spacing w:line="240" w:lineRule="auto"/>
      <w:jc w:val="left"/>
    </w:pPr>
    <w:rPr>
      <w:rFonts w:ascii="Calibri" w:hAnsi="Calibri" w:cs="Calibri"/>
      <w:sz w:val="22"/>
      <w:szCs w:val="22"/>
      <w:lang w:eastAsia="en-US"/>
    </w:rPr>
  </w:style>
  <w:style w:type="character" w:customStyle="1" w:styleId="PlainTextChar">
    <w:name w:val="Plain Text Char"/>
    <w:basedOn w:val="DefaultParagraphFont"/>
    <w:link w:val="PlainText"/>
    <w:uiPriority w:val="99"/>
    <w:rsid w:val="00926A59"/>
    <w:rPr>
      <w:rFonts w:ascii="Calibri" w:hAnsi="Calibri" w:cs="Calibri"/>
      <w:lang w:val="en-GB" w:eastAsia="en-US"/>
    </w:rPr>
  </w:style>
  <w:style w:type="character" w:customStyle="1" w:styleId="period">
    <w:name w:val="period"/>
    <w:basedOn w:val="DefaultParagraphFont"/>
    <w:rsid w:val="00612180"/>
  </w:style>
  <w:style w:type="character" w:customStyle="1" w:styleId="cit">
    <w:name w:val="cit"/>
    <w:basedOn w:val="DefaultParagraphFont"/>
    <w:rsid w:val="00612180"/>
  </w:style>
  <w:style w:type="character" w:customStyle="1" w:styleId="citation-doi">
    <w:name w:val="citation-doi"/>
    <w:basedOn w:val="DefaultParagraphFont"/>
    <w:rsid w:val="00612180"/>
  </w:style>
  <w:style w:type="character" w:customStyle="1" w:styleId="secondary-date">
    <w:name w:val="secondary-date"/>
    <w:basedOn w:val="DefaultParagraphFont"/>
    <w:rsid w:val="00612180"/>
  </w:style>
  <w:style w:type="character" w:customStyle="1" w:styleId="authors-list-item">
    <w:name w:val="authors-list-item"/>
    <w:basedOn w:val="DefaultParagraphFont"/>
    <w:rsid w:val="00612180"/>
  </w:style>
  <w:style w:type="character" w:customStyle="1" w:styleId="author-sup-separator">
    <w:name w:val="author-sup-separator"/>
    <w:basedOn w:val="DefaultParagraphFont"/>
    <w:rsid w:val="00612180"/>
  </w:style>
  <w:style w:type="character" w:customStyle="1" w:styleId="comma">
    <w:name w:val="comma"/>
    <w:basedOn w:val="DefaultParagraphFont"/>
    <w:rsid w:val="00612180"/>
  </w:style>
  <w:style w:type="paragraph" w:styleId="Revision">
    <w:name w:val="Revision"/>
    <w:hidden/>
    <w:uiPriority w:val="99"/>
    <w:semiHidden/>
    <w:rsid w:val="00C941C6"/>
    <w:rPr>
      <w:sz w:val="20"/>
      <w:szCs w:val="20"/>
      <w:lang w:val="en-GB" w:eastAsia="fr-FR"/>
    </w:rPr>
  </w:style>
  <w:style w:type="paragraph" w:customStyle="1" w:styleId="1111">
    <w:name w:val="1.1.1.1"/>
    <w:basedOn w:val="Normal"/>
    <w:uiPriority w:val="99"/>
    <w:qFormat/>
    <w:rsid w:val="00B36009"/>
    <w:pPr>
      <w:tabs>
        <w:tab w:val="clear" w:pos="-720"/>
      </w:tabs>
      <w:spacing w:after="120" w:line="240" w:lineRule="auto"/>
      <w:ind w:left="1843" w:hanging="425"/>
      <w:jc w:val="left"/>
    </w:pPr>
    <w:rPr>
      <w:rFonts w:ascii="Söhne Kräftig" w:hAnsi="Söhne Kräftig" w:cs="Arial"/>
      <w:sz w:val="18"/>
      <w:szCs w:val="18"/>
      <w:lang w:eastAsia="en-US"/>
    </w:rPr>
  </w:style>
  <w:style w:type="paragraph" w:customStyle="1" w:styleId="11111">
    <w:name w:val="1.1.1.1.1"/>
    <w:basedOn w:val="Normal"/>
    <w:uiPriority w:val="99"/>
    <w:rsid w:val="00B36009"/>
    <w:pPr>
      <w:tabs>
        <w:tab w:val="clear" w:pos="-720"/>
      </w:tabs>
      <w:spacing w:after="120" w:line="240" w:lineRule="auto"/>
      <w:ind w:left="1588"/>
      <w:jc w:val="left"/>
    </w:pPr>
    <w:rPr>
      <w:rFonts w:ascii="Söhne" w:hAnsi="Söhne" w:cs="Arial"/>
      <w:sz w:val="18"/>
      <w:szCs w:val="18"/>
      <w:lang w:eastAsia="en-US"/>
    </w:rPr>
  </w:style>
  <w:style w:type="paragraph" w:styleId="ListParagraph">
    <w:name w:val="List Paragraph"/>
    <w:basedOn w:val="Normal"/>
    <w:uiPriority w:val="34"/>
    <w:qFormat/>
    <w:rsid w:val="00B36009"/>
    <w:pPr>
      <w:ind w:left="720"/>
      <w:contextualSpacing/>
    </w:pPr>
  </w:style>
  <w:style w:type="character" w:customStyle="1" w:styleId="paraACar">
    <w:name w:val="paraA Car"/>
    <w:link w:val="paraA0"/>
    <w:uiPriority w:val="99"/>
    <w:locked/>
    <w:rsid w:val="00B36009"/>
    <w:rPr>
      <w:rFonts w:ascii="Söhne" w:hAnsi="Söhne"/>
      <w:sz w:val="18"/>
      <w:szCs w:val="18"/>
      <w:lang w:val="en-GB" w:eastAsia="fr-FR"/>
    </w:rPr>
  </w:style>
  <w:style w:type="paragraph" w:customStyle="1" w:styleId="rfrences">
    <w:name w:val="références"/>
    <w:basedOn w:val="Normal"/>
    <w:link w:val="rfrencesChar"/>
    <w:rsid w:val="00B36009"/>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B36009"/>
    <w:rPr>
      <w:rFonts w:ascii="Söhne" w:hAnsi="Söhne"/>
      <w:sz w:val="18"/>
      <w:lang w:val="fr-FR" w:eastAsia="fr-FR" w:bidi="en-US"/>
    </w:rPr>
  </w:style>
  <w:style w:type="character" w:customStyle="1" w:styleId="UnresolvedMention1">
    <w:name w:val="Unresolved Mention1"/>
    <w:basedOn w:val="DefaultParagraphFont"/>
    <w:uiPriority w:val="99"/>
    <w:semiHidden/>
    <w:unhideWhenUsed/>
    <w:rsid w:val="00371520"/>
    <w:rPr>
      <w:color w:val="605E5C"/>
      <w:shd w:val="clear" w:color="auto" w:fill="E1DFDD"/>
    </w:rPr>
  </w:style>
  <w:style w:type="character" w:styleId="UnresolvedMention">
    <w:name w:val="Unresolved Mention"/>
    <w:basedOn w:val="DefaultParagraphFont"/>
    <w:uiPriority w:val="99"/>
    <w:semiHidden/>
    <w:unhideWhenUsed/>
    <w:rsid w:val="00CC246E"/>
    <w:rPr>
      <w:color w:val="605E5C"/>
      <w:shd w:val="clear" w:color="auto" w:fill="E1DFDD"/>
    </w:rPr>
  </w:style>
  <w:style w:type="character" w:customStyle="1" w:styleId="cf01">
    <w:name w:val="cf01"/>
    <w:basedOn w:val="DefaultParagraphFont"/>
    <w:rsid w:val="008517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664">
      <w:bodyDiv w:val="1"/>
      <w:marLeft w:val="0"/>
      <w:marRight w:val="0"/>
      <w:marTop w:val="0"/>
      <w:marBottom w:val="0"/>
      <w:divBdr>
        <w:top w:val="none" w:sz="0" w:space="0" w:color="auto"/>
        <w:left w:val="none" w:sz="0" w:space="0" w:color="auto"/>
        <w:bottom w:val="none" w:sz="0" w:space="0" w:color="auto"/>
        <w:right w:val="none" w:sz="0" w:space="0" w:color="auto"/>
      </w:divBdr>
      <w:divsChild>
        <w:div w:id="30571144">
          <w:marLeft w:val="0"/>
          <w:marRight w:val="0"/>
          <w:marTop w:val="0"/>
          <w:marBottom w:val="0"/>
          <w:divBdr>
            <w:top w:val="none" w:sz="0" w:space="0" w:color="auto"/>
            <w:left w:val="none" w:sz="0" w:space="0" w:color="auto"/>
            <w:bottom w:val="none" w:sz="0" w:space="0" w:color="auto"/>
            <w:right w:val="none" w:sz="0" w:space="0" w:color="auto"/>
          </w:divBdr>
          <w:divsChild>
            <w:div w:id="1295675727">
              <w:marLeft w:val="0"/>
              <w:marRight w:val="0"/>
              <w:marTop w:val="0"/>
              <w:marBottom w:val="0"/>
              <w:divBdr>
                <w:top w:val="none" w:sz="0" w:space="0" w:color="auto"/>
                <w:left w:val="none" w:sz="0" w:space="0" w:color="auto"/>
                <w:bottom w:val="none" w:sz="0" w:space="0" w:color="auto"/>
                <w:right w:val="none" w:sz="0" w:space="0" w:color="auto"/>
              </w:divBdr>
              <w:divsChild>
                <w:div w:id="1060129102">
                  <w:marLeft w:val="0"/>
                  <w:marRight w:val="0"/>
                  <w:marTop w:val="0"/>
                  <w:marBottom w:val="0"/>
                  <w:divBdr>
                    <w:top w:val="none" w:sz="0" w:space="0" w:color="auto"/>
                    <w:left w:val="none" w:sz="0" w:space="0" w:color="auto"/>
                    <w:bottom w:val="none" w:sz="0" w:space="0" w:color="auto"/>
                    <w:right w:val="none" w:sz="0" w:space="0" w:color="auto"/>
                  </w:divBdr>
                  <w:divsChild>
                    <w:div w:id="318854178">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5670">
          <w:marLeft w:val="0"/>
          <w:marRight w:val="0"/>
          <w:marTop w:val="0"/>
          <w:marBottom w:val="0"/>
          <w:divBdr>
            <w:top w:val="none" w:sz="0" w:space="0" w:color="auto"/>
            <w:left w:val="none" w:sz="0" w:space="0" w:color="auto"/>
            <w:bottom w:val="none" w:sz="0" w:space="0" w:color="auto"/>
            <w:right w:val="none" w:sz="0" w:space="0" w:color="auto"/>
          </w:divBdr>
          <w:divsChild>
            <w:div w:id="1003700127">
              <w:marLeft w:val="0"/>
              <w:marRight w:val="0"/>
              <w:marTop w:val="0"/>
              <w:marBottom w:val="0"/>
              <w:divBdr>
                <w:top w:val="none" w:sz="0" w:space="0" w:color="auto"/>
                <w:left w:val="none" w:sz="0" w:space="0" w:color="auto"/>
                <w:bottom w:val="none" w:sz="0" w:space="0" w:color="auto"/>
                <w:right w:val="none" w:sz="0" w:space="0" w:color="auto"/>
              </w:divBdr>
              <w:divsChild>
                <w:div w:id="15717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4240">
      <w:bodyDiv w:val="1"/>
      <w:marLeft w:val="0"/>
      <w:marRight w:val="0"/>
      <w:marTop w:val="0"/>
      <w:marBottom w:val="0"/>
      <w:divBdr>
        <w:top w:val="none" w:sz="0" w:space="0" w:color="auto"/>
        <w:left w:val="none" w:sz="0" w:space="0" w:color="auto"/>
        <w:bottom w:val="none" w:sz="0" w:space="0" w:color="auto"/>
        <w:right w:val="none" w:sz="0" w:space="0" w:color="auto"/>
      </w:divBdr>
    </w:div>
    <w:div w:id="1177422230">
      <w:bodyDiv w:val="1"/>
      <w:marLeft w:val="0"/>
      <w:marRight w:val="0"/>
      <w:marTop w:val="0"/>
      <w:marBottom w:val="0"/>
      <w:divBdr>
        <w:top w:val="none" w:sz="0" w:space="0" w:color="auto"/>
        <w:left w:val="none" w:sz="0" w:space="0" w:color="auto"/>
        <w:bottom w:val="none" w:sz="0" w:space="0" w:color="auto"/>
        <w:right w:val="none" w:sz="0" w:space="0" w:color="auto"/>
      </w:divBdr>
    </w:div>
    <w:div w:id="21226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oah.org/en/what-we-offer/expertise-network/reference-laborato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ulturecollec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3C7F-4D31-4BC1-90F3-64EC3CAAAD6C}">
  <ds:schemaRefs>
    <ds:schemaRef ds:uri="http://schemas.microsoft.com/office/2006/metadata/properties"/>
    <ds:schemaRef ds:uri="http://schemas.microsoft.com/office/infopath/2007/PartnerControls"/>
    <ds:schemaRef ds:uri="http://purl.org/dc/terms/"/>
    <ds:schemaRef ds:uri="dd973180-a4c1-4e52-b4bc-58f54f6e421a"/>
    <ds:schemaRef ds:uri="http://schemas.microsoft.com/office/2006/documentManagement/types"/>
    <ds:schemaRef ds:uri="2d8f2bc2-ce05-4280-abbb-a54dfdc4c8e8"/>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C26CB42-44BF-46A7-91CB-280F9F885FC6}">
  <ds:schemaRefs>
    <ds:schemaRef ds:uri="http://schemas.microsoft.com/sharepoint/v3/contenttype/forms"/>
  </ds:schemaRefs>
</ds:datastoreItem>
</file>

<file path=customXml/itemProps3.xml><?xml version="1.0" encoding="utf-8"?>
<ds:datastoreItem xmlns:ds="http://schemas.openxmlformats.org/officeDocument/2006/customXml" ds:itemID="{A0C1F49C-8DAC-43B6-BA2C-EEAF3A42F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2FAC7-F71E-43FE-B69F-518406788372}">
  <ds:schemaRefs>
    <ds:schemaRef ds:uri="http://schemas.openxmlformats.org/officeDocument/2006/bibliography"/>
  </ds:schemaRefs>
</ds:datastoreItem>
</file>

<file path=customXml/itemProps5.xml><?xml version="1.0" encoding="utf-8"?>
<ds:datastoreItem xmlns:ds="http://schemas.openxmlformats.org/officeDocument/2006/customXml" ds:itemID="{0395F7CD-4C12-422A-8003-0B3BFD4B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7380</Words>
  <Characters>42072</Characters>
  <Application>Microsoft Office Word</Application>
  <DocSecurity>0</DocSecurity>
  <Lines>350</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fmd with viaa test incl.</vt:lpstr>
      <vt:lpstr>fmd with viaa test incl.</vt:lpstr>
    </vt:vector>
  </TitlesOfParts>
  <Company>CFIA-ACIA</Company>
  <LinksUpToDate>false</LinksUpToDate>
  <CharactersWithSpaces>49354</CharactersWithSpaces>
  <SharedDoc>false</SharedDoc>
  <HLinks>
    <vt:vector size="12" baseType="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7012385</vt:i4>
      </vt:variant>
      <vt:variant>
        <vt:i4>0</vt:i4>
      </vt:variant>
      <vt:variant>
        <vt:i4>0</vt:i4>
      </vt:variant>
      <vt:variant>
        <vt:i4>5</vt:i4>
      </vt:variant>
      <vt:variant>
        <vt:lpwstr>https://www.culturecollections.org.uk/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dc:title>
  <dc:subject>arial/trait</dc:subject>
  <dc:creator>sara</dc:creator>
  <cp:keywords/>
  <cp:lastModifiedBy>Egrie, Paul - MRP-APHIS</cp:lastModifiedBy>
  <cp:revision>3</cp:revision>
  <cp:lastPrinted>2017-05-04T23:10:00Z</cp:lastPrinted>
  <dcterms:created xsi:type="dcterms:W3CDTF">2023-04-10T09:56:00Z</dcterms:created>
  <dcterms:modified xsi:type="dcterms:W3CDTF">2023-04-10T10:37:00Z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